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EFCE1">
      <w:pPr>
        <w:pStyle w:val="32"/>
        <w:spacing w:line="560" w:lineRule="exact"/>
        <w:ind w:right="-586" w:rightChars="-244"/>
        <w:jc w:val="center"/>
        <w:rPr>
          <w:rFonts w:ascii="黑体" w:hAnsi="黑体" w:eastAsia="黑体"/>
          <w:kern w:val="0"/>
          <w:sz w:val="48"/>
          <w:szCs w:val="48"/>
        </w:rPr>
      </w:pPr>
      <w:r>
        <w:rPr>
          <w:rFonts w:hint="eastAsia" w:ascii="黑体" w:hAnsi="黑体" w:eastAsia="黑体"/>
          <w:kern w:val="0"/>
          <w:sz w:val="48"/>
          <w:szCs w:val="48"/>
          <w:lang w:eastAsia="zh-CN"/>
        </w:rPr>
        <w:t>伟澈（重庆）商贸有限公司诉巴中市秦巴田园农业发展有限公司买卖合同纠纷及巴中市秦巴田园农业发展有限公司贸易业务疑似涉嫌被诈骗系列案件专项法律服务采购</w:t>
      </w:r>
    </w:p>
    <w:p w14:paraId="09C94A12">
      <w:pPr>
        <w:pStyle w:val="32"/>
        <w:spacing w:line="560" w:lineRule="exact"/>
        <w:ind w:right="-586" w:rightChars="-244"/>
        <w:jc w:val="center"/>
        <w:rPr>
          <w:rFonts w:ascii="黑体" w:hAnsi="黑体" w:eastAsia="黑体"/>
          <w:kern w:val="0"/>
          <w:sz w:val="48"/>
          <w:szCs w:val="48"/>
        </w:rPr>
      </w:pPr>
    </w:p>
    <w:p w14:paraId="7BEE2BA2">
      <w:pPr>
        <w:spacing w:line="360" w:lineRule="auto"/>
        <w:jc w:val="center"/>
        <w:rPr>
          <w:rFonts w:ascii="黑体" w:hAnsi="黑体" w:eastAsia="黑体"/>
          <w:sz w:val="52"/>
          <w:szCs w:val="52"/>
        </w:rPr>
      </w:pPr>
      <w:r>
        <w:rPr>
          <w:rFonts w:hint="eastAsia" w:ascii="黑体" w:hAnsi="黑体" w:eastAsia="黑体" w:cs="黑体"/>
          <w:sz w:val="52"/>
          <w:szCs w:val="52"/>
        </w:rPr>
        <w:t>竞</w:t>
      </w:r>
    </w:p>
    <w:p w14:paraId="591CB0BE">
      <w:pPr>
        <w:spacing w:line="360" w:lineRule="auto"/>
        <w:jc w:val="center"/>
        <w:rPr>
          <w:rFonts w:ascii="黑体" w:hAnsi="黑体" w:eastAsia="黑体"/>
          <w:sz w:val="52"/>
          <w:szCs w:val="52"/>
        </w:rPr>
      </w:pPr>
      <w:r>
        <w:rPr>
          <w:rFonts w:hint="eastAsia" w:ascii="黑体" w:hAnsi="黑体" w:eastAsia="黑体" w:cs="黑体"/>
          <w:sz w:val="52"/>
          <w:szCs w:val="52"/>
        </w:rPr>
        <w:t>争</w:t>
      </w:r>
    </w:p>
    <w:p w14:paraId="631896E0">
      <w:pPr>
        <w:spacing w:line="360" w:lineRule="auto"/>
        <w:jc w:val="center"/>
        <w:rPr>
          <w:rFonts w:ascii="黑体" w:hAnsi="黑体" w:eastAsia="黑体"/>
          <w:sz w:val="52"/>
          <w:szCs w:val="52"/>
        </w:rPr>
      </w:pPr>
      <w:r>
        <w:rPr>
          <w:rFonts w:hint="eastAsia" w:ascii="黑体" w:hAnsi="黑体" w:eastAsia="黑体" w:cs="黑体"/>
          <w:sz w:val="52"/>
          <w:szCs w:val="52"/>
        </w:rPr>
        <w:t>性</w:t>
      </w:r>
    </w:p>
    <w:p w14:paraId="18C1BF2A">
      <w:pPr>
        <w:spacing w:line="360" w:lineRule="auto"/>
        <w:jc w:val="center"/>
        <w:rPr>
          <w:rFonts w:ascii="黑体" w:hAnsi="黑体" w:eastAsia="黑体"/>
          <w:sz w:val="52"/>
          <w:szCs w:val="52"/>
        </w:rPr>
      </w:pPr>
      <w:r>
        <w:rPr>
          <w:rFonts w:hint="eastAsia" w:ascii="黑体" w:hAnsi="黑体" w:eastAsia="黑体" w:cs="黑体"/>
          <w:sz w:val="52"/>
          <w:szCs w:val="52"/>
        </w:rPr>
        <w:t>谈</w:t>
      </w:r>
    </w:p>
    <w:p w14:paraId="74E9FFCD">
      <w:pPr>
        <w:spacing w:line="360" w:lineRule="auto"/>
        <w:jc w:val="center"/>
        <w:rPr>
          <w:rFonts w:ascii="黑体" w:hAnsi="黑体" w:eastAsia="黑体"/>
          <w:sz w:val="52"/>
          <w:szCs w:val="52"/>
        </w:rPr>
      </w:pPr>
      <w:r>
        <w:rPr>
          <w:rFonts w:hint="eastAsia" w:ascii="黑体" w:hAnsi="黑体" w:eastAsia="黑体"/>
          <w:sz w:val="52"/>
          <w:szCs w:val="52"/>
        </w:rPr>
        <w:t>判</w:t>
      </w:r>
    </w:p>
    <w:p w14:paraId="16400C08">
      <w:pPr>
        <w:spacing w:line="360" w:lineRule="auto"/>
        <w:jc w:val="center"/>
        <w:rPr>
          <w:rFonts w:ascii="黑体" w:hAnsi="黑体" w:eastAsia="黑体"/>
          <w:sz w:val="52"/>
          <w:szCs w:val="52"/>
        </w:rPr>
      </w:pPr>
      <w:r>
        <w:rPr>
          <w:rFonts w:hint="eastAsia" w:ascii="黑体" w:hAnsi="黑体" w:eastAsia="黑体" w:cs="黑体"/>
          <w:sz w:val="52"/>
          <w:szCs w:val="52"/>
        </w:rPr>
        <w:t>文</w:t>
      </w:r>
    </w:p>
    <w:p w14:paraId="771307F5">
      <w:pPr>
        <w:spacing w:line="360" w:lineRule="auto"/>
        <w:jc w:val="center"/>
        <w:rPr>
          <w:rFonts w:ascii="黑体" w:hAnsi="黑体" w:eastAsia="黑体" w:cs="黑体"/>
          <w:sz w:val="52"/>
          <w:szCs w:val="52"/>
        </w:rPr>
      </w:pPr>
      <w:r>
        <w:rPr>
          <w:rFonts w:hint="eastAsia" w:ascii="黑体" w:hAnsi="黑体" w:eastAsia="黑体" w:cs="黑体"/>
          <w:sz w:val="52"/>
          <w:szCs w:val="52"/>
        </w:rPr>
        <w:t>件</w:t>
      </w:r>
    </w:p>
    <w:p w14:paraId="16317534">
      <w:pPr>
        <w:pStyle w:val="6"/>
        <w:rPr>
          <w:rFonts w:ascii="黑体" w:hAnsi="黑体" w:eastAsia="黑体" w:cs="黑体"/>
          <w:sz w:val="52"/>
          <w:szCs w:val="52"/>
        </w:rPr>
      </w:pPr>
    </w:p>
    <w:p w14:paraId="1F792FDF">
      <w:pPr>
        <w:spacing w:line="360" w:lineRule="auto"/>
        <w:jc w:val="center"/>
        <w:rPr>
          <w:rFonts w:ascii="黑体" w:hAnsi="黑体" w:eastAsia="黑体"/>
          <w:sz w:val="52"/>
          <w:szCs w:val="52"/>
        </w:rPr>
      </w:pPr>
    </w:p>
    <w:p w14:paraId="3140B2E9">
      <w:pPr>
        <w:spacing w:line="360" w:lineRule="auto"/>
        <w:jc w:val="center"/>
        <w:rPr>
          <w:b/>
          <w:bCs/>
          <w:sz w:val="30"/>
          <w:szCs w:val="30"/>
        </w:rPr>
      </w:pPr>
      <w:bookmarkStart w:id="0" w:name="PO_采购人_1"/>
      <w:r>
        <w:rPr>
          <w:rFonts w:hint="eastAsia" w:ascii="黑体" w:hAnsi="黑体" w:eastAsia="黑体" w:cs="黑体"/>
          <w:sz w:val="32"/>
          <w:szCs w:val="32"/>
        </w:rPr>
        <w:t>采购人</w:t>
      </w:r>
      <w:bookmarkEnd w:id="0"/>
      <w:r>
        <w:rPr>
          <w:rFonts w:hint="eastAsia" w:ascii="黑体" w:hAnsi="黑体" w:eastAsia="黑体" w:cs="黑体"/>
          <w:sz w:val="32"/>
          <w:szCs w:val="32"/>
        </w:rPr>
        <w:t>：</w:t>
      </w:r>
      <w:bookmarkStart w:id="1" w:name="PO_年份小写_1"/>
      <w:r>
        <w:rPr>
          <w:rFonts w:hint="eastAsia"/>
          <w:b/>
          <w:bCs/>
          <w:sz w:val="30"/>
          <w:szCs w:val="30"/>
        </w:rPr>
        <w:t>巴中市秦巴田园农业发展有限公司</w:t>
      </w:r>
    </w:p>
    <w:p w14:paraId="57867F2B">
      <w:pPr>
        <w:spacing w:line="360" w:lineRule="auto"/>
        <w:jc w:val="center"/>
        <w:rPr>
          <w:rFonts w:ascii="黑体" w:hAnsi="黑体" w:eastAsia="黑体" w:cs="黑体"/>
          <w:sz w:val="32"/>
          <w:szCs w:val="32"/>
          <w:lang w:val="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rPr>
        <w:t>2024</w:t>
      </w:r>
      <w:r>
        <w:rPr>
          <w:rFonts w:hint="eastAsia" w:ascii="黑体" w:hAnsi="黑体" w:eastAsia="黑体" w:cs="黑体"/>
          <w:sz w:val="32"/>
          <w:szCs w:val="32"/>
          <w:lang w:val="zh-CN"/>
        </w:rPr>
        <w:t>年</w:t>
      </w:r>
      <w:bookmarkEnd w:id="1"/>
      <w:bookmarkStart w:id="2" w:name="PO_月份小写_1"/>
      <w:r>
        <w:rPr>
          <w:rFonts w:hint="eastAsia" w:ascii="黑体" w:hAnsi="黑体" w:eastAsia="黑体" w:cs="黑体"/>
          <w:sz w:val="32"/>
          <w:szCs w:val="32"/>
          <w:lang w:val="en-US" w:eastAsia="zh-CN"/>
        </w:rPr>
        <w:t>9</w:t>
      </w:r>
      <w:r>
        <w:rPr>
          <w:rFonts w:hint="eastAsia" w:ascii="黑体" w:hAnsi="黑体" w:eastAsia="黑体" w:cs="黑体"/>
          <w:sz w:val="32"/>
          <w:szCs w:val="32"/>
          <w:lang w:val="zh-CN"/>
        </w:rPr>
        <w:t>月</w:t>
      </w:r>
      <w:bookmarkEnd w:id="2"/>
    </w:p>
    <w:p w14:paraId="2443D449">
      <w:pPr>
        <w:pStyle w:val="3"/>
        <w:keepNext w:val="0"/>
        <w:keepLines w:val="0"/>
        <w:spacing w:line="360" w:lineRule="auto"/>
        <w:jc w:val="center"/>
        <w:rPr>
          <w:rFonts w:ascii="仿宋_GB2312" w:hAnsi="仿宋_GB2312" w:eastAsia="仿宋_GB2312" w:cs="Times New Roman"/>
        </w:rPr>
      </w:pPr>
      <w:r>
        <w:rPr>
          <w:rFonts w:hint="eastAsia" w:ascii="仿宋_GB2312" w:hAnsi="仿宋_GB2312" w:eastAsia="仿宋_GB2312" w:cs="仿宋"/>
          <w:sz w:val="36"/>
          <w:szCs w:val="36"/>
        </w:rPr>
        <w:t>目录</w:t>
      </w:r>
    </w:p>
    <w:p w14:paraId="262F6D5E">
      <w:pPr>
        <w:pStyle w:val="15"/>
        <w:tabs>
          <w:tab w:val="right" w:leader="dot" w:pos="8313"/>
        </w:tabs>
      </w:pPr>
      <w:r>
        <w:rPr>
          <w:rStyle w:val="23"/>
        </w:rPr>
        <w:fldChar w:fldCharType="begin"/>
      </w:r>
      <w:r>
        <w:rPr>
          <w:rStyle w:val="23"/>
          <w:rFonts w:ascii="仿宋_GB2312" w:hAnsi="仿宋_GB2312" w:eastAsia="仿宋_GB2312"/>
          <w:caps/>
        </w:rPr>
        <w:instrText xml:space="preserve">TOC \h \z \t "</w:instrText>
      </w:r>
      <w:r>
        <w:rPr>
          <w:rStyle w:val="23"/>
          <w:rFonts w:hint="eastAsia" w:ascii="仿宋_GB2312" w:hAnsi="仿宋_GB2312" w:eastAsia="仿宋_GB2312" w:cs="宋体"/>
          <w:caps/>
        </w:rPr>
        <w:instrText xml:space="preserve">标题</w:instrText>
      </w:r>
      <w:r>
        <w:rPr>
          <w:rStyle w:val="23"/>
          <w:rFonts w:ascii="仿宋_GB2312" w:hAnsi="仿宋_GB2312" w:eastAsia="仿宋_GB2312"/>
          <w:caps/>
        </w:rPr>
        <w:instrText xml:space="preserve">,1"</w:instrText>
      </w:r>
      <w:r>
        <w:rPr>
          <w:rStyle w:val="23"/>
        </w:rPr>
        <w:fldChar w:fldCharType="separate"/>
      </w:r>
      <w:r>
        <w:fldChar w:fldCharType="begin"/>
      </w:r>
      <w:r>
        <w:instrText xml:space="preserve"> HYPERLINK \l "_Toc1495" </w:instrText>
      </w:r>
      <w:r>
        <w:fldChar w:fldCharType="separate"/>
      </w:r>
      <w:r>
        <w:rPr>
          <w:rFonts w:hint="eastAsia" w:ascii="仿宋_GB2312" w:hAnsi="仿宋_GB2312" w:eastAsia="仿宋_GB2312" w:cs="仿宋"/>
        </w:rPr>
        <w:t>第一章 谈判邀请</w:t>
      </w:r>
      <w:r>
        <w:tab/>
      </w:r>
      <w:r>
        <w:fldChar w:fldCharType="begin"/>
      </w:r>
      <w:r>
        <w:instrText xml:space="preserve"> PAGEREF _Toc1495 \h </w:instrText>
      </w:r>
      <w:r>
        <w:fldChar w:fldCharType="separate"/>
      </w:r>
      <w:r>
        <w:t>1</w:t>
      </w:r>
      <w:r>
        <w:fldChar w:fldCharType="end"/>
      </w:r>
      <w:r>
        <w:fldChar w:fldCharType="end"/>
      </w:r>
    </w:p>
    <w:p w14:paraId="08A533B5">
      <w:pPr>
        <w:pStyle w:val="15"/>
        <w:tabs>
          <w:tab w:val="right" w:leader="dot" w:pos="8313"/>
        </w:tabs>
      </w:pPr>
      <w:r>
        <w:fldChar w:fldCharType="begin"/>
      </w:r>
      <w:r>
        <w:instrText xml:space="preserve"> HYPERLINK \l "_Toc20405" </w:instrText>
      </w:r>
      <w:r>
        <w:fldChar w:fldCharType="separate"/>
      </w:r>
      <w:r>
        <w:rPr>
          <w:rFonts w:hint="eastAsia" w:ascii="仿宋_GB2312" w:hAnsi="仿宋_GB2312" w:eastAsia="仿宋_GB2312" w:cs="仿宋"/>
        </w:rPr>
        <w:t>第二章 谈判须知</w:t>
      </w:r>
      <w:r>
        <w:tab/>
      </w:r>
      <w:r>
        <w:rPr>
          <w:rFonts w:hint="eastAsia"/>
          <w:lang w:val="en-US" w:eastAsia="zh-CN"/>
        </w:rPr>
        <w:t>3</w:t>
      </w:r>
      <w:r>
        <w:fldChar w:fldCharType="end"/>
      </w:r>
    </w:p>
    <w:p w14:paraId="7ED1E2CD">
      <w:pPr>
        <w:pStyle w:val="15"/>
        <w:tabs>
          <w:tab w:val="right" w:leader="dot" w:pos="8313"/>
        </w:tabs>
        <w:rPr>
          <w:rFonts w:hint="eastAsia" w:ascii="仿宋_GB2312" w:hAnsi="仿宋_GB2312" w:eastAsia="宋体"/>
          <w:caps/>
          <w:lang w:val="en-US" w:eastAsia="zh-CN"/>
        </w:rPr>
      </w:pPr>
      <w:r>
        <w:fldChar w:fldCharType="begin"/>
      </w:r>
      <w:r>
        <w:instrText xml:space="preserve"> HYPERLINK \l "_Toc23656" </w:instrText>
      </w:r>
      <w:r>
        <w:fldChar w:fldCharType="separate"/>
      </w:r>
      <w:r>
        <w:rPr>
          <w:rFonts w:hint="eastAsia" w:ascii="仿宋_GB2312" w:hAnsi="仿宋_GB2312" w:eastAsia="仿宋_GB2312" w:cs="仿宋"/>
        </w:rPr>
        <w:t>第三章</w:t>
      </w:r>
      <w:r>
        <w:rPr>
          <w:rFonts w:ascii="仿宋_GB2312" w:hAnsi="仿宋_GB2312" w:eastAsia="仿宋_GB2312" w:cs="仿宋"/>
        </w:rPr>
        <w:t xml:space="preserve"> </w:t>
      </w:r>
      <w:r>
        <w:rPr>
          <w:rFonts w:hint="eastAsia" w:ascii="仿宋_GB2312" w:hAnsi="仿宋_GB2312" w:eastAsia="仿宋_GB2312" w:cs="仿宋"/>
          <w:lang w:eastAsia="zh-CN"/>
        </w:rPr>
        <w:t>采购项目技术、服务及其他商务要求</w:t>
      </w:r>
      <w:r>
        <w:tab/>
      </w:r>
      <w:r>
        <w:rPr>
          <w:rFonts w:hint="eastAsia"/>
        </w:rPr>
        <w:t>1</w:t>
      </w:r>
      <w:r>
        <w:rPr>
          <w:rFonts w:hint="eastAsia"/>
        </w:rPr>
        <w:fldChar w:fldCharType="end"/>
      </w:r>
      <w:r>
        <w:rPr>
          <w:rFonts w:hint="eastAsia"/>
          <w:lang w:val="en-US" w:eastAsia="zh-CN"/>
        </w:rPr>
        <w:t>0</w:t>
      </w:r>
    </w:p>
    <w:p w14:paraId="547CA89C">
      <w:pPr>
        <w:pStyle w:val="15"/>
        <w:tabs>
          <w:tab w:val="right" w:leader="dot" w:pos="8313"/>
        </w:tabs>
        <w:rPr>
          <w:rFonts w:hint="eastAsia" w:eastAsia="宋体"/>
          <w:lang w:val="en-US" w:eastAsia="zh-CN"/>
        </w:rPr>
      </w:pPr>
      <w:r>
        <w:fldChar w:fldCharType="begin"/>
      </w:r>
      <w:r>
        <w:instrText xml:space="preserve"> HYPERLINK \l "_Toc20405"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四</w:t>
      </w:r>
      <w:r>
        <w:rPr>
          <w:rFonts w:hint="eastAsia" w:ascii="仿宋_GB2312" w:hAnsi="仿宋_GB2312" w:eastAsia="仿宋_GB2312" w:cs="仿宋"/>
        </w:rPr>
        <w:t>章 谈判</w:t>
      </w:r>
      <w:r>
        <w:rPr>
          <w:rFonts w:hint="eastAsia" w:ascii="仿宋_GB2312" w:hAnsi="仿宋_GB2312" w:eastAsia="仿宋_GB2312" w:cs="仿宋"/>
          <w:lang w:eastAsia="zh-CN"/>
        </w:rPr>
        <w:t>过程中可实质性变动的内容</w:t>
      </w:r>
      <w:r>
        <w:tab/>
      </w:r>
      <w:r>
        <w:rPr>
          <w:rFonts w:hint="eastAsia"/>
          <w:lang w:val="en-US" w:eastAsia="zh-CN"/>
        </w:rPr>
        <w:t>1</w:t>
      </w:r>
      <w:r>
        <w:fldChar w:fldCharType="end"/>
      </w:r>
      <w:r>
        <w:rPr>
          <w:rFonts w:hint="eastAsia"/>
          <w:lang w:val="en-US" w:eastAsia="zh-CN"/>
        </w:rPr>
        <w:t>4</w:t>
      </w:r>
    </w:p>
    <w:p w14:paraId="457A58EE">
      <w:pPr>
        <w:pStyle w:val="15"/>
        <w:tabs>
          <w:tab w:val="right" w:leader="dot" w:pos="8313"/>
        </w:tabs>
        <w:rPr>
          <w:rFonts w:hint="eastAsia" w:eastAsia="宋体"/>
          <w:lang w:eastAsia="zh-CN"/>
        </w:rPr>
      </w:pPr>
      <w:r>
        <w:fldChar w:fldCharType="begin"/>
      </w:r>
      <w:r>
        <w:instrText xml:space="preserve"> HYPERLINK \l "_Toc23656"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五</w:t>
      </w:r>
      <w:r>
        <w:rPr>
          <w:rFonts w:hint="eastAsia" w:ascii="仿宋_GB2312" w:hAnsi="仿宋_GB2312" w:eastAsia="仿宋_GB2312" w:cs="仿宋"/>
        </w:rPr>
        <w:t>章</w:t>
      </w:r>
      <w:r>
        <w:rPr>
          <w:rFonts w:ascii="仿宋_GB2312" w:hAnsi="仿宋_GB2312" w:eastAsia="仿宋_GB2312" w:cs="仿宋"/>
        </w:rPr>
        <w:t xml:space="preserve"> </w:t>
      </w:r>
      <w:r>
        <w:rPr>
          <w:rFonts w:hint="eastAsia" w:ascii="仿宋_GB2312" w:hAnsi="仿宋_GB2312" w:eastAsia="仿宋_GB2312" w:cs="仿宋"/>
        </w:rPr>
        <w:t>响应文件格式</w:t>
      </w:r>
      <w:r>
        <w:tab/>
      </w:r>
      <w:r>
        <w:rPr>
          <w:rFonts w:hint="eastAsia"/>
        </w:rPr>
        <w:t>1</w:t>
      </w:r>
      <w:r>
        <w:rPr>
          <w:rFonts w:hint="eastAsia"/>
        </w:rPr>
        <w:fldChar w:fldCharType="end"/>
      </w:r>
      <w:r>
        <w:rPr>
          <w:rFonts w:hint="eastAsia" w:ascii="仿宋_GB2312" w:hAnsi="仿宋_GB2312" w:eastAsia="仿宋_GB2312"/>
          <w:caps/>
          <w:lang w:val="en-US" w:eastAsia="zh-CN"/>
        </w:rPr>
        <w:t>5</w:t>
      </w:r>
    </w:p>
    <w:p w14:paraId="1EA1B81C">
      <w:pPr>
        <w:pStyle w:val="15"/>
        <w:tabs>
          <w:tab w:val="right" w:leader="dot" w:pos="8313"/>
        </w:tabs>
        <w:rPr>
          <w:rFonts w:hint="eastAsia" w:eastAsia="宋体"/>
          <w:lang w:val="en-US" w:eastAsia="zh-CN"/>
        </w:rPr>
      </w:pPr>
      <w:r>
        <w:fldChar w:fldCharType="begin"/>
      </w:r>
      <w:r>
        <w:instrText xml:space="preserve"> HYPERLINK \l "_Toc20405"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六</w:t>
      </w:r>
      <w:r>
        <w:rPr>
          <w:rFonts w:hint="eastAsia" w:ascii="仿宋_GB2312" w:hAnsi="仿宋_GB2312" w:eastAsia="仿宋_GB2312" w:cs="仿宋"/>
        </w:rPr>
        <w:t xml:space="preserve">章 </w:t>
      </w:r>
      <w:r>
        <w:rPr>
          <w:rFonts w:hint="eastAsia" w:ascii="仿宋_GB2312" w:hAnsi="仿宋_GB2312" w:eastAsia="仿宋_GB2312" w:cs="仿宋"/>
          <w:lang w:eastAsia="zh-CN"/>
        </w:rPr>
        <w:t>评审方法</w:t>
      </w:r>
      <w:r>
        <w:tab/>
      </w:r>
      <w:r>
        <w:rPr>
          <w:rFonts w:hint="eastAsia"/>
          <w:lang w:val="en-US" w:eastAsia="zh-CN"/>
        </w:rPr>
        <w:t>2</w:t>
      </w:r>
      <w:r>
        <w:fldChar w:fldCharType="end"/>
      </w:r>
      <w:r>
        <w:rPr>
          <w:rFonts w:hint="eastAsia"/>
          <w:lang w:val="en-US" w:eastAsia="zh-CN"/>
        </w:rPr>
        <w:t>8</w:t>
      </w:r>
    </w:p>
    <w:p w14:paraId="70C4EDD9">
      <w:pPr>
        <w:pStyle w:val="15"/>
        <w:tabs>
          <w:tab w:val="right" w:leader="dot" w:pos="8313"/>
        </w:tabs>
        <w:rPr>
          <w:rFonts w:hint="eastAsia" w:eastAsia="宋体"/>
          <w:lang w:val="en-US" w:eastAsia="zh-CN"/>
        </w:rPr>
      </w:pPr>
      <w:r>
        <w:fldChar w:fldCharType="begin"/>
      </w:r>
      <w:r>
        <w:instrText xml:space="preserve"> HYPERLINK \l "_Toc23656"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七</w:t>
      </w:r>
      <w:r>
        <w:rPr>
          <w:rFonts w:hint="eastAsia" w:ascii="仿宋_GB2312" w:hAnsi="仿宋_GB2312" w:eastAsia="仿宋_GB2312" w:cs="仿宋"/>
        </w:rPr>
        <w:t>章</w:t>
      </w:r>
      <w:r>
        <w:rPr>
          <w:rFonts w:ascii="仿宋_GB2312" w:hAnsi="仿宋_GB2312" w:eastAsia="仿宋_GB2312" w:cs="仿宋"/>
        </w:rPr>
        <w:t xml:space="preserve"> </w:t>
      </w:r>
      <w:r>
        <w:rPr>
          <w:rFonts w:hint="eastAsia" w:ascii="仿宋_GB2312" w:hAnsi="仿宋_GB2312" w:eastAsia="仿宋_GB2312" w:cs="仿宋"/>
          <w:lang w:eastAsia="zh-CN"/>
        </w:rPr>
        <w:t>合同主要条款</w:t>
      </w:r>
      <w:r>
        <w:tab/>
      </w:r>
      <w:r>
        <w:rPr>
          <w:rFonts w:hint="eastAsia"/>
          <w:lang w:val="en-US" w:eastAsia="zh-CN"/>
        </w:rPr>
        <w:t>3</w:t>
      </w:r>
      <w:r>
        <w:rPr>
          <w:rFonts w:hint="eastAsia"/>
        </w:rPr>
        <w:fldChar w:fldCharType="end"/>
      </w:r>
      <w:r>
        <w:rPr>
          <w:rFonts w:hint="eastAsia"/>
          <w:lang w:val="en-US" w:eastAsia="zh-CN"/>
        </w:rPr>
        <w:t>4</w:t>
      </w:r>
    </w:p>
    <w:p w14:paraId="36DA31CA">
      <w:pPr>
        <w:pStyle w:val="6"/>
      </w:pPr>
    </w:p>
    <w:p w14:paraId="64419B69">
      <w:pPr>
        <w:pStyle w:val="15"/>
        <w:tabs>
          <w:tab w:val="right" w:leader="dot" w:pos="9345"/>
        </w:tabs>
        <w:ind w:right="-120" w:rightChars="-50"/>
        <w:jc w:val="left"/>
        <w:rPr>
          <w:rFonts w:ascii="仿宋_GB2312" w:hAnsi="仿宋_GB2312" w:eastAsia="仿宋_GB2312"/>
        </w:rPr>
      </w:pPr>
      <w:r>
        <w:rPr>
          <w:rFonts w:ascii="仿宋_GB2312" w:hAnsi="仿宋_GB2312" w:eastAsia="仿宋_GB2312"/>
          <w:caps/>
        </w:rPr>
        <w:fldChar w:fldCharType="end"/>
      </w:r>
    </w:p>
    <w:p w14:paraId="1A988D64">
      <w:pPr>
        <w:pStyle w:val="18"/>
        <w:rPr>
          <w:rFonts w:ascii="仿宋_GB2312" w:hAnsi="仿宋_GB2312" w:eastAsia="仿宋_GB2312" w:cs="仿宋"/>
        </w:rPr>
        <w:sectPr>
          <w:headerReference r:id="rId3" w:type="default"/>
          <w:footerReference r:id="rId4" w:type="default"/>
          <w:footerReference r:id="rId5" w:type="even"/>
          <w:pgSz w:w="11907" w:h="16840"/>
          <w:pgMar w:top="1440" w:right="1797" w:bottom="1440" w:left="1797" w:header="851" w:footer="992" w:gutter="0"/>
          <w:cols w:space="425" w:num="1"/>
          <w:docGrid w:linePitch="312" w:charSpace="0"/>
        </w:sectPr>
      </w:pPr>
      <w:bookmarkStart w:id="3" w:name="_Toc509579140"/>
    </w:p>
    <w:p w14:paraId="5CAF10FA">
      <w:pPr>
        <w:pStyle w:val="18"/>
        <w:rPr>
          <w:rFonts w:ascii="仿宋_GB2312" w:hAnsi="仿宋_GB2312" w:eastAsia="仿宋_GB2312" w:cs="Times New Roman"/>
        </w:rPr>
      </w:pPr>
      <w:bookmarkStart w:id="4" w:name="_Toc1495"/>
      <w:r>
        <w:rPr>
          <w:rFonts w:hint="eastAsia" w:ascii="仿宋_GB2312" w:hAnsi="仿宋_GB2312" w:eastAsia="仿宋_GB2312" w:cs="仿宋"/>
        </w:rPr>
        <w:t>第一章 谈判邀请</w:t>
      </w:r>
      <w:bookmarkEnd w:id="3"/>
      <w:bookmarkEnd w:id="4"/>
    </w:p>
    <w:p w14:paraId="5282B3C1">
      <w:pPr>
        <w:adjustRightInd w:val="0"/>
        <w:snapToGrid w:val="0"/>
        <w:spacing w:line="360" w:lineRule="auto"/>
        <w:ind w:firstLine="480" w:firstLineChars="200"/>
        <w:jc w:val="both"/>
        <w:rPr>
          <w:rFonts w:ascii="仿宋_GB2312" w:hAnsi="仿宋_GB2312" w:eastAsia="仿宋_GB2312" w:cs="仿宋"/>
        </w:rPr>
      </w:pPr>
      <w:bookmarkStart w:id="5" w:name="_Toc213397009"/>
      <w:bookmarkStart w:id="6" w:name="_Toc213396945"/>
      <w:bookmarkStart w:id="7" w:name="_Toc217446031"/>
      <w:bookmarkStart w:id="8" w:name="_Toc509579141"/>
      <w:bookmarkStart w:id="9" w:name="_Toc213496267"/>
      <w:bookmarkStart w:id="10" w:name="_Toc213396759"/>
    </w:p>
    <w:p w14:paraId="1CD61704">
      <w:pPr>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巴中市秦巴田园农业发展有限公司拟对</w:t>
      </w:r>
      <w:bookmarkStart w:id="11" w:name="PO_默认文件内容_1"/>
      <w:r>
        <w:rPr>
          <w:rFonts w:hint="eastAsia" w:ascii="仿宋_GB2312" w:hAnsi="仿宋_GB2312" w:eastAsia="仿宋_GB2312" w:cs="仿宋"/>
          <w:u w:val="single"/>
          <w:lang w:eastAsia="zh-CN"/>
        </w:rPr>
        <w:t>伟澈（重庆）商贸有限公司诉巴中市秦巴田园农业发展有限公司买卖合同纠纷及巴中市秦巴田园农业发展有限公司贸易业务疑似涉嫌被诈骗系列案件专项法律服务采购</w:t>
      </w:r>
      <w:r>
        <w:rPr>
          <w:rFonts w:hint="eastAsia" w:ascii="仿宋_GB2312" w:hAnsi="仿宋_GB2312" w:eastAsia="仿宋_GB2312" w:cs="仿宋"/>
        </w:rPr>
        <w:t>采用竞争性谈判方式进行采购，特邀请符合本次采购要求的供应商参加本次的竞争性谈判。</w:t>
      </w:r>
      <w:bookmarkEnd w:id="11"/>
      <w:r>
        <w:rPr>
          <w:rFonts w:hint="eastAsia" w:ascii="仿宋_GB2312" w:hAnsi="仿宋_GB2312" w:eastAsia="仿宋_GB2312" w:cs="仿宋"/>
        </w:rPr>
        <w:t>本次采购活动实行现场谈判。</w:t>
      </w:r>
    </w:p>
    <w:p w14:paraId="60337821">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一、基本情况</w:t>
      </w:r>
    </w:p>
    <w:p w14:paraId="13657217">
      <w:pPr>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采购名称：</w:t>
      </w:r>
      <w:r>
        <w:rPr>
          <w:rFonts w:hint="eastAsia" w:ascii="仿宋_GB2312" w:hAnsi="仿宋_GB2312" w:eastAsia="仿宋_GB2312" w:cs="仿宋"/>
          <w:lang w:eastAsia="zh-CN"/>
        </w:rPr>
        <w:t>伟澈（重庆）商贸有限公司诉巴中市秦巴田园农业发展有限公司买卖合同纠纷及巴中市秦巴田园农业发展有限公司贸易业务疑似涉嫌被诈骗系列案件专项法律服务采购</w:t>
      </w:r>
      <w:r>
        <w:rPr>
          <w:rFonts w:hint="eastAsia" w:ascii="仿宋_GB2312" w:hAnsi="仿宋_GB2312" w:eastAsia="仿宋_GB2312" w:cs="仿宋"/>
        </w:rPr>
        <w:t>。</w:t>
      </w:r>
    </w:p>
    <w:p w14:paraId="4200E4E8">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二、资金来源及控制价</w:t>
      </w:r>
    </w:p>
    <w:p w14:paraId="5723BD06">
      <w:pPr>
        <w:adjustRightInd w:val="0"/>
        <w:snapToGrid w:val="0"/>
        <w:spacing w:line="360" w:lineRule="auto"/>
        <w:ind w:right="36" w:rightChars="15" w:firstLine="480" w:firstLineChars="200"/>
        <w:rPr>
          <w:rFonts w:ascii="仿宋_GB2312" w:hAnsi="仿宋_GB2312" w:eastAsia="仿宋_GB2312" w:cs="仿宋"/>
          <w:lang w:val="zh-CN"/>
        </w:rPr>
      </w:pPr>
      <w:r>
        <w:rPr>
          <w:rFonts w:hint="eastAsia" w:ascii="仿宋_GB2312" w:hAnsi="仿宋_GB2312" w:eastAsia="仿宋_GB2312" w:cs="仿宋"/>
        </w:rPr>
        <w:t>1.资金来源：</w:t>
      </w:r>
      <w:bookmarkStart w:id="12" w:name="PO_资金性质_1"/>
      <w:r>
        <w:rPr>
          <w:rFonts w:hint="eastAsia" w:ascii="仿宋_GB2312" w:hAnsi="仿宋_GB2312" w:eastAsia="仿宋_GB2312" w:cs="仿宋"/>
          <w:lang w:val="zh-CN"/>
        </w:rPr>
        <w:t>自筹</w:t>
      </w:r>
      <w:bookmarkEnd w:id="12"/>
    </w:p>
    <w:p w14:paraId="4A838C74">
      <w:pPr>
        <w:adjustRightInd w:val="0"/>
        <w:snapToGrid w:val="0"/>
        <w:spacing w:line="360" w:lineRule="auto"/>
        <w:ind w:right="36" w:rightChars="15" w:firstLine="480" w:firstLineChars="200"/>
        <w:rPr>
          <w:rFonts w:ascii="仿宋_GB2312" w:hAnsi="仿宋_GB2312" w:eastAsia="仿宋_GB2312" w:cs="仿宋"/>
        </w:rPr>
      </w:pPr>
      <w:r>
        <w:rPr>
          <w:rFonts w:hint="eastAsia" w:ascii="仿宋_GB2312" w:hAnsi="仿宋_GB2312" w:eastAsia="仿宋_GB2312" w:cs="仿宋"/>
        </w:rPr>
        <w:t>2.控制价：210000元以内。</w:t>
      </w:r>
    </w:p>
    <w:p w14:paraId="3BA41D8A">
      <w:pPr>
        <w:adjustRightInd w:val="0"/>
        <w:snapToGrid w:val="0"/>
        <w:spacing w:line="360" w:lineRule="auto"/>
        <w:ind w:firstLine="480" w:firstLineChars="200"/>
        <w:rPr>
          <w:rFonts w:ascii="黑体" w:hAnsi="黑体" w:eastAsia="黑体" w:cs="黑体"/>
          <w:bCs/>
        </w:rPr>
      </w:pPr>
      <w:bookmarkStart w:id="13" w:name="PO_默认文件内容_3"/>
      <w:r>
        <w:rPr>
          <w:rFonts w:hint="eastAsia" w:ascii="黑体" w:hAnsi="黑体" w:eastAsia="黑体" w:cs="黑体"/>
          <w:bCs/>
        </w:rPr>
        <w:t>三、供应商参加本次采购活动应具备下列条件：</w:t>
      </w:r>
    </w:p>
    <w:p w14:paraId="3F748B28">
      <w:pPr>
        <w:pStyle w:val="25"/>
        <w:rPr>
          <w:rFonts w:ascii="仿宋_GB2312" w:hAnsi="仿宋_GB2312" w:eastAsia="仿宋_GB2312" w:cs="仿宋"/>
          <w:kern w:val="0"/>
          <w:sz w:val="24"/>
          <w:szCs w:val="24"/>
        </w:rPr>
      </w:pPr>
      <w:r>
        <w:rPr>
          <w:rFonts w:hint="eastAsia" w:ascii="楷体_GB2312" w:hAnsi="楷体_GB2312" w:eastAsia="楷体_GB2312" w:cs="楷体_GB2312"/>
          <w:b/>
          <w:bCs/>
          <w:kern w:val="0"/>
          <w:sz w:val="24"/>
          <w:szCs w:val="24"/>
        </w:rPr>
        <w:t>（一）符合《中华人民共和国政府采购法》第二十二条的相关规定：</w:t>
      </w:r>
    </w:p>
    <w:p w14:paraId="17D3C759">
      <w:pPr>
        <w:pStyle w:val="25"/>
        <w:ind w:firstLine="600" w:firstLineChars="250"/>
        <w:rPr>
          <w:rFonts w:hint="eastAsia" w:ascii="仿宋_GB2312" w:hAnsi="仿宋_GB2312" w:eastAsia="仿宋_GB2312" w:cs="仿宋"/>
          <w:kern w:val="0"/>
          <w:sz w:val="24"/>
          <w:szCs w:val="24"/>
        </w:rPr>
      </w:pPr>
      <w:r>
        <w:rPr>
          <w:rFonts w:hint="eastAsia" w:ascii="仿宋_GB2312" w:hAnsi="仿宋_GB2312" w:eastAsia="仿宋_GB2312" w:cs="仿宋"/>
          <w:kern w:val="0"/>
          <w:sz w:val="24"/>
          <w:szCs w:val="24"/>
        </w:rPr>
        <w:t>1.具有独立承担民事责任的能力；</w:t>
      </w:r>
    </w:p>
    <w:p w14:paraId="2D123EE5">
      <w:pPr>
        <w:pStyle w:val="25"/>
        <w:ind w:firstLine="600" w:firstLineChars="250"/>
        <w:rPr>
          <w:rFonts w:hint="eastAsia" w:ascii="仿宋_GB2312" w:hAnsi="仿宋_GB2312" w:eastAsia="仿宋_GB2312" w:cs="仿宋"/>
          <w:kern w:val="0"/>
          <w:sz w:val="24"/>
          <w:szCs w:val="24"/>
          <w:lang w:eastAsia="zh-CN"/>
        </w:rPr>
      </w:pPr>
      <w:r>
        <w:rPr>
          <w:rFonts w:hint="eastAsia" w:ascii="仿宋_GB2312" w:hAnsi="仿宋_GB2312" w:eastAsia="仿宋_GB2312" w:cs="仿宋"/>
          <w:kern w:val="0"/>
          <w:sz w:val="24"/>
          <w:szCs w:val="24"/>
        </w:rPr>
        <w:t>2.供应商应具备有效的《律师事务所执业许可证》</w:t>
      </w:r>
      <w:r>
        <w:rPr>
          <w:rFonts w:hint="eastAsia" w:ascii="仿宋_GB2312" w:hAnsi="仿宋_GB2312" w:eastAsia="仿宋_GB2312" w:cs="仿宋"/>
          <w:kern w:val="0"/>
          <w:sz w:val="24"/>
          <w:szCs w:val="24"/>
          <w:lang w:eastAsia="zh-CN"/>
        </w:rPr>
        <w:t>；</w:t>
      </w:r>
    </w:p>
    <w:p w14:paraId="15960182">
      <w:pPr>
        <w:pStyle w:val="25"/>
        <w:ind w:firstLine="600" w:firstLineChars="250"/>
        <w:rPr>
          <w:rFonts w:hint="eastAsia" w:ascii="仿宋_GB2312" w:hAnsi="仿宋_GB2312" w:eastAsia="仿宋_GB2312" w:cs="仿宋"/>
          <w:kern w:val="0"/>
          <w:sz w:val="24"/>
          <w:szCs w:val="24"/>
          <w:lang w:eastAsia="zh-CN"/>
        </w:rPr>
      </w:pPr>
      <w:r>
        <w:rPr>
          <w:rFonts w:hint="eastAsia" w:ascii="仿宋_GB2312" w:hAnsi="仿宋_GB2312" w:eastAsia="仿宋_GB2312" w:cs="仿宋"/>
          <w:kern w:val="0"/>
          <w:sz w:val="24"/>
          <w:szCs w:val="24"/>
        </w:rPr>
        <w:t>3.具有履行合同所必需的专业技术人员</w:t>
      </w:r>
      <w:r>
        <w:rPr>
          <w:rFonts w:hint="eastAsia" w:ascii="仿宋_GB2312" w:hAnsi="仿宋_GB2312" w:eastAsia="仿宋_GB2312" w:cs="仿宋"/>
          <w:kern w:val="0"/>
          <w:sz w:val="24"/>
          <w:szCs w:val="24"/>
          <w:lang w:eastAsia="zh-CN"/>
        </w:rPr>
        <w:t>，服务团队中，需具备从事政府或企业法律顾问、民事诉讼、刑事诉讼经验案件的专业律师或专家、教授。</w:t>
      </w:r>
    </w:p>
    <w:p w14:paraId="47DC4930">
      <w:pPr>
        <w:widowControl w:val="0"/>
        <w:tabs>
          <w:tab w:val="left" w:pos="7665"/>
        </w:tabs>
        <w:spacing w:line="360" w:lineRule="auto"/>
        <w:ind w:firstLine="600" w:firstLineChars="250"/>
        <w:rPr>
          <w:rFonts w:ascii="仿宋_GB2312" w:hAnsi="仿宋_GB2312" w:eastAsia="仿宋_GB2312" w:cs="仿宋"/>
        </w:rPr>
      </w:pPr>
      <w:r>
        <w:rPr>
          <w:rFonts w:hint="eastAsia" w:ascii="仿宋_GB2312" w:hAnsi="仿宋_GB2312" w:eastAsia="仿宋_GB2312" w:cs="仿宋"/>
        </w:rPr>
        <w:t>4.具有依法缴纳税收和社会保障资金的良好记录（应提供</w:t>
      </w:r>
      <w:r>
        <w:rPr>
          <w:rFonts w:ascii="仿宋_GB2312" w:hAnsi="仿宋_GB2312" w:eastAsia="仿宋_GB2312" w:cs="仿宋"/>
        </w:rPr>
        <w:t>2023年以来任意3个月缴纳证明复印件或承诺函）</w:t>
      </w:r>
      <w:r>
        <w:rPr>
          <w:rFonts w:hint="eastAsia" w:ascii="仿宋_GB2312" w:hAnsi="仿宋_GB2312" w:eastAsia="仿宋_GB2312" w:cs="仿宋"/>
        </w:rPr>
        <w:t>；</w:t>
      </w:r>
    </w:p>
    <w:p w14:paraId="64A961A6">
      <w:pPr>
        <w:widowControl w:val="0"/>
        <w:tabs>
          <w:tab w:val="left" w:pos="7665"/>
        </w:tabs>
        <w:spacing w:line="360" w:lineRule="auto"/>
        <w:ind w:firstLine="600" w:firstLineChars="250"/>
        <w:rPr>
          <w:rFonts w:ascii="仿宋_GB2312" w:hAnsi="仿宋_GB2312" w:eastAsia="仿宋_GB2312" w:cs="仿宋"/>
        </w:rPr>
      </w:pPr>
      <w:r>
        <w:rPr>
          <w:rFonts w:hint="eastAsia" w:ascii="仿宋_GB2312" w:hAnsi="仿宋_GB2312" w:eastAsia="仿宋_GB2312" w:cs="仿宋"/>
        </w:rPr>
        <w:t>5.参加本次采购活动前三年内，在经营活动中没有重大违法记录；</w:t>
      </w:r>
    </w:p>
    <w:p w14:paraId="4D246231">
      <w:pPr>
        <w:pStyle w:val="25"/>
        <w:ind w:firstLine="600" w:firstLineChars="250"/>
        <w:rPr>
          <w:rFonts w:ascii="仿宋_GB2312" w:hAnsi="仿宋_GB2312" w:eastAsia="仿宋_GB2312" w:cs="仿宋"/>
          <w:kern w:val="0"/>
          <w:sz w:val="24"/>
          <w:szCs w:val="24"/>
        </w:rPr>
      </w:pPr>
      <w:r>
        <w:rPr>
          <w:rFonts w:hint="eastAsia" w:ascii="仿宋_GB2312" w:hAnsi="仿宋_GB2312" w:eastAsia="仿宋_GB2312" w:cs="仿宋"/>
          <w:kern w:val="0"/>
          <w:sz w:val="24"/>
          <w:szCs w:val="24"/>
        </w:rPr>
        <w:t>6.法律、行政法规规定的其他条件；</w:t>
      </w:r>
    </w:p>
    <w:p w14:paraId="51AD2BD8">
      <w:pPr>
        <w:pStyle w:val="25"/>
        <w:rPr>
          <w:rFonts w:ascii="仿宋_GB2312" w:hAnsi="仿宋_GB2312" w:eastAsia="仿宋_GB2312" w:cs="仿宋"/>
          <w:kern w:val="0"/>
          <w:sz w:val="24"/>
          <w:szCs w:val="24"/>
        </w:rPr>
      </w:pPr>
      <w:r>
        <w:rPr>
          <w:rFonts w:hint="eastAsia" w:ascii="楷体_GB2312" w:hAnsi="楷体_GB2312" w:eastAsia="楷体_GB2312" w:cs="楷体_GB2312"/>
          <w:b/>
          <w:bCs/>
          <w:kern w:val="0"/>
          <w:sz w:val="24"/>
          <w:szCs w:val="24"/>
        </w:rPr>
        <w:t>（二）类似业绩：</w:t>
      </w:r>
      <w:r>
        <w:rPr>
          <w:rFonts w:hint="eastAsia" w:ascii="仿宋_GB2312" w:hAnsi="仿宋_GB2312" w:eastAsia="仿宋_GB2312" w:cs="仿宋"/>
          <w:kern w:val="0"/>
          <w:sz w:val="24"/>
          <w:szCs w:val="24"/>
        </w:rPr>
        <w:t>2021年1月1日以来代理类似法律服务业绩</w:t>
      </w:r>
      <w:r>
        <w:rPr>
          <w:rFonts w:hint="eastAsia" w:ascii="仿宋_GB2312" w:hAnsi="仿宋_GB2312" w:eastAsia="仿宋_GB2312" w:cs="仿宋"/>
          <w:kern w:val="0"/>
          <w:sz w:val="24"/>
          <w:szCs w:val="24"/>
          <w:lang w:eastAsia="zh-CN"/>
        </w:rPr>
        <w:t>（参与国有企业法律顾问、代理国有企业民事诉讼、代理相关刑事案件）。</w:t>
      </w:r>
      <w:r>
        <w:rPr>
          <w:rFonts w:hint="eastAsia" w:ascii="仿宋_GB2312" w:hAnsi="仿宋_GB2312" w:eastAsia="仿宋_GB2312" w:cs="仿宋"/>
          <w:kern w:val="0"/>
          <w:sz w:val="24"/>
          <w:szCs w:val="24"/>
        </w:rPr>
        <w:t>须提供合同复印件或证明文件复印件并加盖鲜章。</w:t>
      </w:r>
    </w:p>
    <w:p w14:paraId="5C456F99">
      <w:pPr>
        <w:pStyle w:val="25"/>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（四）本项目不接受联合体参加</w:t>
      </w:r>
    </w:p>
    <w:p w14:paraId="53AB6DC7">
      <w:pPr>
        <w:pStyle w:val="25"/>
        <w:rPr>
          <w:rFonts w:hint="eastAsia" w:ascii="楷体_GB2312" w:hAnsi="楷体_GB2312" w:eastAsia="楷体_GB2312" w:cs="楷体_GB2312"/>
          <w:b/>
          <w:bCs/>
          <w:kern w:val="0"/>
          <w:sz w:val="24"/>
          <w:szCs w:val="24"/>
          <w:lang w:eastAsia="zh-CN"/>
        </w:rPr>
      </w:pPr>
      <w:r>
        <w:rPr>
          <w:rFonts w:hint="eastAsia" w:ascii="楷体_GB2312" w:hAnsi="楷体_GB2312" w:eastAsia="楷体_GB2312" w:cs="楷体_GB2312"/>
          <w:b/>
          <w:bCs/>
          <w:kern w:val="0"/>
          <w:sz w:val="24"/>
          <w:szCs w:val="24"/>
        </w:rPr>
        <w:t>（五）按照规定获取了谈判文件</w:t>
      </w:r>
      <w:r>
        <w:rPr>
          <w:rFonts w:hint="eastAsia" w:ascii="楷体_GB2312" w:hAnsi="楷体_GB2312" w:eastAsia="楷体_GB2312" w:cs="楷体_GB2312"/>
          <w:b/>
          <w:bCs/>
          <w:kern w:val="0"/>
          <w:sz w:val="24"/>
          <w:szCs w:val="24"/>
          <w:lang w:eastAsia="zh-CN"/>
        </w:rPr>
        <w:t>；</w:t>
      </w:r>
    </w:p>
    <w:p w14:paraId="766158A7">
      <w:pPr>
        <w:pStyle w:val="25"/>
        <w:rPr>
          <w:rFonts w:hint="eastAsia" w:ascii="楷体_GB2312" w:hAnsi="楷体_GB2312" w:eastAsia="楷体_GB2312" w:cs="楷体_GB2312"/>
          <w:b/>
          <w:bCs/>
          <w:kern w:val="0"/>
          <w:sz w:val="24"/>
          <w:szCs w:val="24"/>
          <w:lang w:eastAsia="zh-CN"/>
        </w:rPr>
      </w:pPr>
      <w:r>
        <w:rPr>
          <w:rFonts w:hint="eastAsia" w:ascii="楷体_GB2312" w:hAnsi="楷体_GB2312" w:eastAsia="楷体_GB2312" w:cs="楷体_GB2312"/>
          <w:b/>
          <w:bCs/>
          <w:kern w:val="0"/>
          <w:sz w:val="24"/>
          <w:szCs w:val="24"/>
          <w:lang w:eastAsia="zh-CN"/>
        </w:rPr>
        <w:t>（六）成交供应商保证根据项目的推进计划，指派服务律师按照采购人的要求前往指定地点办理法律服务事项。</w:t>
      </w:r>
    </w:p>
    <w:p w14:paraId="3613E132">
      <w:pPr>
        <w:adjustRightInd w:val="0"/>
        <w:snapToGrid w:val="0"/>
        <w:spacing w:line="360" w:lineRule="auto"/>
        <w:ind w:firstLine="480" w:firstLineChars="200"/>
        <w:rPr>
          <w:rFonts w:hint="eastAsia" w:ascii="黑体" w:hAnsi="黑体" w:eastAsia="黑体" w:cs="黑体"/>
          <w:bCs/>
        </w:rPr>
      </w:pPr>
      <w:r>
        <w:rPr>
          <w:rFonts w:hint="eastAsia" w:ascii="黑体" w:hAnsi="黑体" w:eastAsia="黑体" w:cs="黑体"/>
          <w:bCs/>
        </w:rPr>
        <w:t>四、供应商邀请方式</w:t>
      </w:r>
      <w:bookmarkEnd w:id="13"/>
    </w:p>
    <w:p w14:paraId="7BDD7D44">
      <w:pPr>
        <w:adjustRightInd w:val="0"/>
        <w:snapToGrid w:val="0"/>
        <w:spacing w:line="360" w:lineRule="auto"/>
        <w:ind w:firstLine="482" w:firstLineChars="200"/>
        <w:jc w:val="left"/>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b/>
          <w:bCs/>
          <w:color w:val="000000" w:themeColor="text1"/>
          <w14:textFill>
            <w14:solidFill>
              <w14:schemeClr w14:val="tx1"/>
            </w14:solidFill>
          </w14:textFill>
        </w:rPr>
        <w:t>公告方式:</w:t>
      </w:r>
      <w:r>
        <w:rPr>
          <w:rFonts w:hint="eastAsia" w:ascii="仿宋_GB2312" w:hAnsi="仿宋_GB2312" w:eastAsia="仿宋_GB2312" w:cs="仿宋"/>
          <w:kern w:val="0"/>
          <w:sz w:val="24"/>
          <w:szCs w:val="24"/>
          <w:lang w:val="en-US" w:eastAsia="zh-CN" w:bidi="ar-SA"/>
        </w:rPr>
        <w:t>本次竞争性谈判公告在巴中市国有资产监督管理委员会网站（</w:t>
      </w:r>
      <w:r>
        <w:rPr>
          <w:rFonts w:hint="eastAsia" w:ascii="仿宋_GB2312" w:hAnsi="仿宋_GB2312" w:eastAsia="仿宋_GB2312" w:cs="仿宋"/>
          <w:kern w:val="0"/>
          <w:sz w:val="24"/>
          <w:szCs w:val="24"/>
          <w:lang w:val="en-US" w:eastAsia="zh-CN" w:bidi="ar-SA"/>
        </w:rPr>
        <w:fldChar w:fldCharType="begin"/>
      </w:r>
      <w:r>
        <w:rPr>
          <w:rFonts w:hint="eastAsia" w:ascii="仿宋_GB2312" w:hAnsi="仿宋_GB2312" w:eastAsia="仿宋_GB2312" w:cs="仿宋"/>
          <w:kern w:val="0"/>
          <w:sz w:val="24"/>
          <w:szCs w:val="24"/>
          <w:lang w:val="en-US" w:eastAsia="zh-CN" w:bidi="ar-SA"/>
        </w:rPr>
        <w:instrText xml:space="preserve"> HYPERLINK "http://gzw.cnbz.gov.cn/" </w:instrText>
      </w:r>
      <w:r>
        <w:rPr>
          <w:rFonts w:hint="eastAsia" w:ascii="仿宋_GB2312" w:hAnsi="仿宋_GB2312" w:eastAsia="仿宋_GB2312" w:cs="仿宋"/>
          <w:kern w:val="0"/>
          <w:sz w:val="24"/>
          <w:szCs w:val="24"/>
          <w:lang w:val="en-US" w:eastAsia="zh-CN" w:bidi="ar-SA"/>
        </w:rPr>
        <w:fldChar w:fldCharType="separate"/>
      </w:r>
      <w:r>
        <w:rPr>
          <w:rFonts w:hint="eastAsia" w:ascii="仿宋_GB2312" w:hAnsi="仿宋_GB2312" w:eastAsia="仿宋_GB2312" w:cs="仿宋"/>
          <w:kern w:val="0"/>
          <w:sz w:val="24"/>
          <w:szCs w:val="24"/>
          <w:lang w:val="en-US" w:eastAsia="zh-CN" w:bidi="ar-SA"/>
        </w:rPr>
        <w:t>http://gzw.cnbz.gov.cn</w:t>
      </w:r>
      <w:r>
        <w:rPr>
          <w:rFonts w:hint="eastAsia" w:ascii="仿宋_GB2312" w:hAnsi="仿宋_GB2312" w:eastAsia="仿宋_GB2312" w:cs="仿宋"/>
          <w:kern w:val="0"/>
          <w:sz w:val="24"/>
          <w:szCs w:val="24"/>
          <w:lang w:val="en-US" w:eastAsia="zh-CN" w:bidi="ar-SA"/>
        </w:rPr>
        <w:fldChar w:fldCharType="end"/>
      </w:r>
      <w:r>
        <w:rPr>
          <w:rFonts w:hint="eastAsia" w:ascii="仿宋_GB2312" w:hAnsi="仿宋_GB2312" w:eastAsia="仿宋_GB2312" w:cs="仿宋"/>
          <w:kern w:val="0"/>
          <w:sz w:val="24"/>
          <w:szCs w:val="24"/>
          <w:lang w:val="en-US" w:eastAsia="zh-CN" w:bidi="ar-SA"/>
        </w:rPr>
        <w:t>）或巴中市产业发展集团有限公司网站（www.bzntjt.cn）以公告形式发布。</w:t>
      </w:r>
    </w:p>
    <w:p w14:paraId="3BA7B9D6">
      <w:pPr>
        <w:numPr>
          <w:ilvl w:val="0"/>
          <w:numId w:val="1"/>
        </w:num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竞争性谈判文件获取方式、时间、地点</w:t>
      </w:r>
    </w:p>
    <w:p w14:paraId="1ECA9175">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竞争性谈判文件自2024年</w:t>
      </w:r>
      <w:r>
        <w:rPr>
          <w:rFonts w:hint="eastAsia" w:ascii="仿宋_GB2312" w:hAnsi="仿宋_GB2312" w:eastAsia="仿宋_GB2312" w:cs="仿宋"/>
          <w:color w:val="000000" w:themeColor="text1"/>
          <w:lang w:val="en-US" w:eastAsia="zh-CN"/>
          <w14:textFill>
            <w14:solidFill>
              <w14:schemeClr w14:val="tx1"/>
            </w14:solidFill>
          </w14:textFill>
        </w:rPr>
        <w:t>09</w:t>
      </w:r>
      <w:r>
        <w:rPr>
          <w:rFonts w:hint="eastAsia" w:ascii="仿宋_GB2312" w:hAnsi="仿宋_GB2312" w:eastAsia="仿宋_GB2312" w:cs="仿宋"/>
          <w:color w:val="000000" w:themeColor="text1"/>
          <w14:textFill>
            <w14:solidFill>
              <w14:schemeClr w14:val="tx1"/>
            </w14:solidFill>
          </w14:textFill>
        </w:rPr>
        <w:t>月</w:t>
      </w:r>
      <w:r>
        <w:rPr>
          <w:rFonts w:hint="eastAsia" w:ascii="仿宋_GB2312" w:hAnsi="仿宋_GB2312" w:eastAsia="仿宋_GB2312" w:cs="仿宋"/>
          <w:color w:val="000000" w:themeColor="text1"/>
          <w:lang w:val="en-US" w:eastAsia="zh-CN"/>
          <w14:textFill>
            <w14:solidFill>
              <w14:schemeClr w14:val="tx1"/>
            </w14:solidFill>
          </w14:textFill>
        </w:rPr>
        <w:t>09</w:t>
      </w:r>
      <w:r>
        <w:rPr>
          <w:rFonts w:hint="eastAsia" w:ascii="仿宋_GB2312" w:hAnsi="仿宋_GB2312" w:eastAsia="仿宋_GB2312" w:cs="仿宋"/>
          <w:color w:val="000000" w:themeColor="text1"/>
          <w14:textFill>
            <w14:solidFill>
              <w14:schemeClr w14:val="tx1"/>
            </w14:solidFill>
          </w14:textFill>
        </w:rPr>
        <w:t>日09:00至2024年</w:t>
      </w:r>
      <w:r>
        <w:rPr>
          <w:rFonts w:hint="eastAsia" w:ascii="仿宋_GB2312" w:hAnsi="仿宋_GB2312" w:eastAsia="仿宋_GB2312" w:cs="仿宋"/>
          <w:color w:val="000000" w:themeColor="text1"/>
          <w:lang w:val="en-US" w:eastAsia="zh-CN"/>
          <w14:textFill>
            <w14:solidFill>
              <w14:schemeClr w14:val="tx1"/>
            </w14:solidFill>
          </w14:textFill>
        </w:rPr>
        <w:t>09</w:t>
      </w:r>
      <w:r>
        <w:rPr>
          <w:rFonts w:hint="eastAsia" w:ascii="仿宋_GB2312" w:hAnsi="仿宋_GB2312" w:eastAsia="仿宋_GB2312" w:cs="仿宋"/>
          <w:color w:val="000000" w:themeColor="text1"/>
          <w14:textFill>
            <w14:solidFill>
              <w14:schemeClr w14:val="tx1"/>
            </w14:solidFill>
          </w14:textFill>
        </w:rPr>
        <w:t>月</w:t>
      </w:r>
      <w:r>
        <w:rPr>
          <w:rFonts w:hint="eastAsia" w:ascii="仿宋_GB2312" w:hAnsi="仿宋_GB2312" w:eastAsia="仿宋_GB2312" w:cs="仿宋"/>
          <w:color w:val="000000" w:themeColor="text1"/>
          <w:lang w:val="en-US" w:eastAsia="zh-CN"/>
          <w14:textFill>
            <w14:solidFill>
              <w14:schemeClr w14:val="tx1"/>
            </w14:solidFill>
          </w14:textFill>
        </w:rPr>
        <w:t>11</w:t>
      </w:r>
      <w:r>
        <w:rPr>
          <w:rFonts w:hint="eastAsia" w:ascii="仿宋_GB2312" w:hAnsi="仿宋_GB2312" w:eastAsia="仿宋_GB2312" w:cs="仿宋"/>
          <w:color w:val="000000" w:themeColor="text1"/>
          <w14:textFill>
            <w14:solidFill>
              <w14:schemeClr w14:val="tx1"/>
            </w14:solidFill>
          </w14:textFill>
        </w:rPr>
        <w:t>日17:00（北京时间，法定节假日除外）远程获取。</w:t>
      </w:r>
    </w:p>
    <w:p w14:paraId="7F3EA55D">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本项目竞争性谈判文件无偿获取。</w:t>
      </w:r>
    </w:p>
    <w:p w14:paraId="16AE9F98">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供应商将报名登记表、营业执照复印件、律师事务所执业许可证（以上资料均需加盖公章）发送至（</w:t>
      </w:r>
      <w:r>
        <w:rPr>
          <w:rFonts w:hint="eastAsia" w:ascii="仿宋_GB2312" w:hAnsi="仿宋_GB2312" w:eastAsia="仿宋_GB2312" w:cs="仿宋"/>
          <w:color w:val="000000" w:themeColor="text1"/>
          <w:lang w:val="en-US" w:eastAsia="zh-CN"/>
          <w14:textFill>
            <w14:solidFill>
              <w14:schemeClr w14:val="tx1"/>
            </w14:solidFill>
          </w14:textFill>
        </w:rPr>
        <w:t>469003196</w:t>
      </w:r>
      <w:r>
        <w:rPr>
          <w:rFonts w:hint="eastAsia" w:ascii="仿宋_GB2312" w:hAnsi="仿宋_GB2312" w:eastAsia="仿宋_GB2312" w:cs="仿宋"/>
          <w:color w:val="000000" w:themeColor="text1"/>
          <w14:textFill>
            <w14:solidFill>
              <w14:schemeClr w14:val="tx1"/>
            </w14:solidFill>
          </w14:textFill>
        </w:rPr>
        <w:t>@qq.com）。</w:t>
      </w:r>
    </w:p>
    <w:p w14:paraId="008500E1">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竞争性谈判文件提供后不退，谈判资格不能转让。</w:t>
      </w:r>
    </w:p>
    <w:p w14:paraId="7EEF90AE">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六、响应文件的提交方式、时间及谈判时间</w:t>
      </w:r>
    </w:p>
    <w:p w14:paraId="4ED505E5">
      <w:pPr>
        <w:adjustRightInd w:val="0"/>
        <w:snapToGrid w:val="0"/>
        <w:spacing w:line="360" w:lineRule="auto"/>
        <w:ind w:firstLine="480" w:firstLineChars="200"/>
        <w:rPr>
          <w:rFonts w:ascii="仿宋_GB2312" w:hAnsi="仿宋_GB2312" w:eastAsia="仿宋_GB2312"/>
        </w:rPr>
      </w:pPr>
      <w:r>
        <w:rPr>
          <w:rFonts w:hint="eastAsia" w:ascii="仿宋_GB2312" w:hAnsi="仿宋_GB2312" w:eastAsia="仿宋_GB2312" w:cs="仿宋"/>
          <w:color w:val="000000" w:themeColor="text1"/>
          <w14:textFill>
            <w14:solidFill>
              <w14:schemeClr w14:val="tx1"/>
            </w14:solidFill>
          </w14:textFill>
        </w:rPr>
        <w:t>谈判人定于2024年</w:t>
      </w:r>
      <w:r>
        <w:rPr>
          <w:rFonts w:hint="eastAsia" w:ascii="仿宋_GB2312" w:hAnsi="仿宋_GB2312" w:eastAsia="仿宋_GB2312" w:cs="仿宋"/>
          <w:color w:val="000000" w:themeColor="text1"/>
          <w:lang w:val="en-US" w:eastAsia="zh-CN"/>
          <w14:textFill>
            <w14:solidFill>
              <w14:schemeClr w14:val="tx1"/>
            </w14:solidFill>
          </w14:textFill>
        </w:rPr>
        <w:t>09</w:t>
      </w:r>
      <w:r>
        <w:rPr>
          <w:rFonts w:hint="eastAsia" w:ascii="仿宋_GB2312" w:hAnsi="仿宋_GB2312" w:eastAsia="仿宋_GB2312" w:cs="仿宋"/>
          <w:color w:val="000000" w:themeColor="text1"/>
          <w14:textFill>
            <w14:solidFill>
              <w14:schemeClr w14:val="tx1"/>
            </w14:solidFill>
          </w14:textFill>
        </w:rPr>
        <w:t>月</w:t>
      </w:r>
      <w:r>
        <w:rPr>
          <w:rFonts w:hint="eastAsia" w:ascii="仿宋_GB2312" w:hAnsi="仿宋_GB2312" w:eastAsia="仿宋_GB2312" w:cs="仿宋"/>
          <w:lang w:val="en-US" w:eastAsia="zh-CN"/>
        </w:rPr>
        <w:t>12</w:t>
      </w:r>
      <w:r>
        <w:rPr>
          <w:rFonts w:hint="eastAsia" w:ascii="仿宋_GB2312" w:hAnsi="仿宋_GB2312" w:eastAsia="仿宋_GB2312" w:cs="仿宋"/>
          <w:color w:val="000000" w:themeColor="text1"/>
          <w14:textFill>
            <w14:solidFill>
              <w14:schemeClr w14:val="tx1"/>
            </w14:solidFill>
          </w14:textFill>
        </w:rPr>
        <w:t>日9时30分（北京时间），在巴中市经济技术开发区西溪社区6组23号3楼巴中市秦巴田园农业发展有限公司会议室公</w:t>
      </w:r>
      <w:r>
        <w:rPr>
          <w:rFonts w:hint="eastAsia" w:ascii="仿宋_GB2312" w:hAnsi="仿宋_GB2312" w:eastAsia="仿宋_GB2312" w:cs="仿宋"/>
        </w:rPr>
        <w:t>开进行该项目的竞争性谈判。</w:t>
      </w:r>
      <w:bookmarkStart w:id="72" w:name="_GoBack"/>
      <w:bookmarkEnd w:id="72"/>
    </w:p>
    <w:p w14:paraId="659CF3D1">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七、联系方式</w:t>
      </w:r>
    </w:p>
    <w:p w14:paraId="365F6A1B">
      <w:pPr>
        <w:pStyle w:val="25"/>
        <w:adjustRightInd w:val="0"/>
        <w:snapToGrid w:val="0"/>
        <w:ind w:firstLine="480"/>
        <w:rPr>
          <w:rFonts w:ascii="仿宋_GB2312" w:hAnsi="仿宋_GB2312" w:eastAsia="仿宋_GB2312" w:cs="仿宋"/>
          <w:sz w:val="24"/>
          <w:szCs w:val="24"/>
        </w:rPr>
      </w:pPr>
      <w:r>
        <w:rPr>
          <w:rFonts w:hint="eastAsia" w:ascii="仿宋_GB2312" w:hAnsi="仿宋_GB2312" w:eastAsia="仿宋_GB2312" w:cs="仿宋"/>
          <w:sz w:val="24"/>
          <w:szCs w:val="24"/>
        </w:rPr>
        <w:t>采购人：巴中市秦巴田园农业发展有限公司</w:t>
      </w:r>
    </w:p>
    <w:p w14:paraId="57FCE1C6">
      <w:pPr>
        <w:pStyle w:val="25"/>
        <w:adjustRightInd w:val="0"/>
        <w:snapToGrid w:val="0"/>
        <w:ind w:firstLine="480"/>
        <w:rPr>
          <w:rFonts w:ascii="仿宋_GB2312" w:hAnsi="仿宋_GB2312" w:eastAsia="仿宋_GB2312" w:cs="仿宋"/>
          <w:sz w:val="24"/>
          <w:szCs w:val="24"/>
        </w:rPr>
      </w:pPr>
      <w:r>
        <w:rPr>
          <w:rFonts w:hint="eastAsia" w:ascii="仿宋_GB2312" w:hAnsi="仿宋_GB2312" w:eastAsia="仿宋_GB2312" w:cs="仿宋"/>
          <w:sz w:val="24"/>
          <w:szCs w:val="24"/>
        </w:rPr>
        <w:t>通讯地址：巴中市经济技术开发区西溪社区6组23号</w:t>
      </w:r>
    </w:p>
    <w:p w14:paraId="340D2B40">
      <w:pPr>
        <w:widowControl w:val="0"/>
        <w:spacing w:line="360" w:lineRule="auto"/>
        <w:ind w:right="480" w:rightChars="200" w:firstLine="480" w:firstLineChars="200"/>
        <w:rPr>
          <w:rFonts w:hint="eastAsia" w:ascii="仿宋" w:hAnsi="仿宋" w:eastAsia="仿宋" w:cs="仿宋"/>
          <w:lang w:eastAsia="zh-CN"/>
        </w:rPr>
      </w:pPr>
      <w:r>
        <w:rPr>
          <w:rFonts w:hint="eastAsia" w:ascii="仿宋" w:hAnsi="仿宋" w:eastAsia="仿宋" w:cs="仿宋"/>
        </w:rPr>
        <w:t>联系人：</w:t>
      </w:r>
      <w:r>
        <w:rPr>
          <w:rFonts w:hint="eastAsia" w:ascii="仿宋" w:hAnsi="仿宋" w:eastAsia="仿宋" w:cs="仿宋"/>
          <w:lang w:eastAsia="zh-CN"/>
        </w:rPr>
        <w:t>李先生</w:t>
      </w:r>
    </w:p>
    <w:p w14:paraId="6B863D34">
      <w:pPr>
        <w:pStyle w:val="25"/>
        <w:adjustRightInd w:val="0"/>
        <w:snapToGrid w:val="0"/>
        <w:ind w:firstLine="480"/>
        <w:rPr>
          <w:rFonts w:ascii="仿宋_GB2312" w:hAnsi="仿宋_GB2312" w:eastAsia="仿宋_GB2312" w:cs="仿宋"/>
          <w:b/>
          <w:bCs/>
          <w:sz w:val="32"/>
          <w:szCs w:val="32"/>
        </w:rPr>
      </w:pPr>
      <w:r>
        <w:rPr>
          <w:rFonts w:hint="eastAsia" w:ascii="仿宋" w:hAnsi="仿宋" w:eastAsia="仿宋" w:cs="仿宋"/>
          <w:sz w:val="24"/>
          <w:szCs w:val="24"/>
        </w:rPr>
        <w:t xml:space="preserve">电  话：0827-5868862  </w:t>
      </w:r>
      <w:r>
        <w:rPr>
          <w:rFonts w:hint="eastAsia" w:ascii="仿宋_GB2312" w:hAnsi="仿宋_GB2312" w:eastAsia="仿宋_GB2312" w:cs="仿宋"/>
          <w:sz w:val="24"/>
          <w:szCs w:val="24"/>
        </w:rPr>
        <w:br w:type="page"/>
      </w:r>
      <w:r>
        <w:rPr>
          <w:rFonts w:hint="eastAsia" w:ascii="仿宋_GB2312" w:hAnsi="仿宋_GB2312" w:eastAsia="仿宋_GB2312" w:cs="仿宋"/>
          <w:sz w:val="24"/>
          <w:szCs w:val="24"/>
        </w:rPr>
        <w:t xml:space="preserve">                       </w:t>
      </w:r>
      <w:r>
        <w:rPr>
          <w:rFonts w:hint="eastAsia" w:ascii="仿宋_GB2312" w:hAnsi="仿宋_GB2312" w:eastAsia="仿宋_GB2312" w:cs="仿宋"/>
          <w:b/>
          <w:bCs/>
          <w:sz w:val="32"/>
          <w:szCs w:val="32"/>
        </w:rPr>
        <w:t>第二章 谈判须知</w:t>
      </w:r>
      <w:bookmarkEnd w:id="5"/>
      <w:bookmarkEnd w:id="6"/>
      <w:bookmarkEnd w:id="7"/>
      <w:bookmarkEnd w:id="8"/>
      <w:bookmarkEnd w:id="9"/>
      <w:bookmarkEnd w:id="10"/>
    </w:p>
    <w:p w14:paraId="5C3A32DE">
      <w:pPr>
        <w:pStyle w:val="3"/>
        <w:keepNext w:val="0"/>
        <w:keepLines w:val="0"/>
        <w:spacing w:line="240" w:lineRule="auto"/>
        <w:jc w:val="center"/>
        <w:rPr>
          <w:rFonts w:ascii="仿宋_GB2312" w:hAnsi="仿宋_GB2312" w:eastAsia="仿宋_GB2312" w:cs="Times New Roman"/>
        </w:rPr>
      </w:pPr>
      <w:r>
        <w:rPr>
          <w:rFonts w:hint="eastAsia" w:ascii="仿宋_GB2312" w:hAnsi="仿宋_GB2312" w:eastAsia="仿宋_GB2312" w:cs="仿宋"/>
        </w:rPr>
        <w:t>一、供应商须知附表</w:t>
      </w:r>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6FDB6D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14:paraId="3E139DF3">
            <w:pPr>
              <w:pStyle w:val="27"/>
              <w:spacing w:line="360" w:lineRule="auto"/>
              <w:ind w:left="9"/>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序号</w:t>
            </w:r>
          </w:p>
        </w:tc>
        <w:tc>
          <w:tcPr>
            <w:tcW w:w="2409" w:type="dxa"/>
            <w:tcBorders>
              <w:top w:val="single" w:color="auto" w:sz="18" w:space="0"/>
            </w:tcBorders>
            <w:vAlign w:val="center"/>
          </w:tcPr>
          <w:p w14:paraId="466BC855">
            <w:pPr>
              <w:pStyle w:val="27"/>
              <w:spacing w:line="360" w:lineRule="auto"/>
              <w:ind w:left="38"/>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应知事项</w:t>
            </w:r>
          </w:p>
        </w:tc>
        <w:tc>
          <w:tcPr>
            <w:tcW w:w="6084" w:type="dxa"/>
            <w:tcBorders>
              <w:top w:val="single" w:color="auto" w:sz="18" w:space="0"/>
            </w:tcBorders>
            <w:vAlign w:val="center"/>
          </w:tcPr>
          <w:p w14:paraId="0AE412E7">
            <w:pPr>
              <w:pStyle w:val="27"/>
              <w:spacing w:line="360" w:lineRule="auto"/>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说明和要求</w:t>
            </w:r>
          </w:p>
        </w:tc>
      </w:tr>
      <w:tr w14:paraId="093756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9" w:hRule="atLeast"/>
          <w:jc w:val="center"/>
        </w:trPr>
        <w:tc>
          <w:tcPr>
            <w:tcW w:w="1013" w:type="dxa"/>
            <w:vAlign w:val="center"/>
          </w:tcPr>
          <w:p w14:paraId="3F67E36E">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1</w:t>
            </w:r>
          </w:p>
        </w:tc>
        <w:tc>
          <w:tcPr>
            <w:tcW w:w="2409" w:type="dxa"/>
            <w:vAlign w:val="center"/>
          </w:tcPr>
          <w:p w14:paraId="6D53FC06">
            <w:pPr>
              <w:pStyle w:val="27"/>
              <w:spacing w:line="360" w:lineRule="auto"/>
              <w:ind w:firstLine="840" w:firstLineChars="400"/>
              <w:jc w:val="both"/>
              <w:rPr>
                <w:rFonts w:ascii="仿宋_GB2312" w:hAnsi="仿宋_GB2312" w:eastAsia="仿宋_GB2312" w:cs="Times New Roman"/>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最高限价</w:t>
            </w:r>
          </w:p>
          <w:p w14:paraId="3F864221">
            <w:pPr>
              <w:pStyle w:val="27"/>
              <w:spacing w:line="360" w:lineRule="auto"/>
              <w:ind w:left="38"/>
              <w:jc w:val="center"/>
              <w:rPr>
                <w:rFonts w:ascii="仿宋_GB2312" w:hAnsi="仿宋_GB2312" w:eastAsia="仿宋_GB2312" w:cs="Times New Roman"/>
                <w:b/>
                <w:color w:val="000000" w:themeColor="text1"/>
                <w:sz w:val="21"/>
                <w:szCs w:val="21"/>
                <w:lang w:val="zh-CN"/>
                <w14:textFill>
                  <w14:solidFill>
                    <w14:schemeClr w14:val="tx1"/>
                  </w14:solidFill>
                </w14:textFill>
              </w:rPr>
            </w:pPr>
            <w:r>
              <w:rPr>
                <w:rFonts w:hint="eastAsia" w:ascii="仿宋_GB2312" w:hAnsi="仿宋_GB2312" w:eastAsia="仿宋_GB2312" w:cs="仿宋"/>
                <w:b/>
                <w:color w:val="000000" w:themeColor="text1"/>
                <w:sz w:val="21"/>
                <w:szCs w:val="21"/>
                <w:lang w:val="zh-CN"/>
                <w14:textFill>
                  <w14:solidFill>
                    <w14:schemeClr w14:val="tx1"/>
                  </w14:solidFill>
                </w14:textFill>
              </w:rPr>
              <w:t>（实质性要求）</w:t>
            </w:r>
          </w:p>
        </w:tc>
        <w:tc>
          <w:tcPr>
            <w:tcW w:w="6084" w:type="dxa"/>
            <w:vAlign w:val="center"/>
          </w:tcPr>
          <w:p w14:paraId="61906569">
            <w:pPr>
              <w:pStyle w:val="27"/>
              <w:spacing w:line="360" w:lineRule="auto"/>
              <w:ind w:firstLine="315" w:firstLineChars="150"/>
              <w:jc w:val="both"/>
              <w:rPr>
                <w:rFonts w:ascii="仿宋_GB2312" w:hAnsi="仿宋_GB2312" w:eastAsia="仿宋_GB2312" w:cs="Times New Roman"/>
                <w:color w:val="000000" w:themeColor="text1"/>
                <w:sz w:val="21"/>
                <w:szCs w:val="21"/>
                <w:lang w:val="zh-CN"/>
                <w14:textFill>
                  <w14:solidFill>
                    <w14:schemeClr w14:val="tx1"/>
                  </w14:solidFill>
                </w14:textFill>
              </w:rPr>
            </w:pPr>
            <w:r>
              <w:rPr>
                <w:rFonts w:hint="eastAsia" w:ascii="仿宋_GB2312" w:hAnsi="仿宋_GB2312" w:eastAsia="仿宋_GB2312" w:cs="Times New Roman"/>
                <w:color w:val="000000" w:themeColor="text1"/>
                <w:sz w:val="21"/>
                <w:szCs w:val="21"/>
                <w:lang w:val="zh-CN"/>
                <w14:textFill>
                  <w14:solidFill>
                    <w14:schemeClr w14:val="tx1"/>
                  </w14:solidFill>
                </w14:textFill>
              </w:rPr>
              <w:t>210000元以内。</w:t>
            </w:r>
          </w:p>
        </w:tc>
      </w:tr>
      <w:tr w14:paraId="7788EF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79AE5A5">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2</w:t>
            </w:r>
          </w:p>
        </w:tc>
        <w:tc>
          <w:tcPr>
            <w:tcW w:w="2409" w:type="dxa"/>
            <w:vAlign w:val="center"/>
          </w:tcPr>
          <w:p w14:paraId="2E8C1127">
            <w:pPr>
              <w:pStyle w:val="27"/>
              <w:spacing w:line="360" w:lineRule="auto"/>
              <w:ind w:left="38"/>
              <w:jc w:val="center"/>
              <w:rPr>
                <w:rFonts w:ascii="仿宋_GB2312" w:hAnsi="仿宋_GB2312" w:eastAsia="仿宋_GB2312" w:cs="Times New Roman"/>
                <w:color w:val="000000" w:themeColor="text1"/>
                <w:sz w:val="21"/>
                <w:szCs w:val="21"/>
                <w14:textFill>
                  <w14:solidFill>
                    <w14:schemeClr w14:val="tx1"/>
                  </w14:solidFill>
                </w14:textFill>
              </w:rPr>
            </w:pPr>
            <w:r>
              <w:rPr>
                <w:rFonts w:hint="eastAsia" w:ascii="仿宋_GB2312" w:hAnsi="仿宋_GB2312" w:eastAsia="仿宋_GB2312" w:cs="仿宋"/>
                <w:color w:val="000000" w:themeColor="text1"/>
                <w:sz w:val="21"/>
                <w:szCs w:val="21"/>
                <w14:textFill>
                  <w14:solidFill>
                    <w14:schemeClr w14:val="tx1"/>
                  </w14:solidFill>
                </w14:textFill>
              </w:rPr>
              <w:t>不正当竞争预防措施</w:t>
            </w:r>
          </w:p>
          <w:p w14:paraId="16C3376C">
            <w:pPr>
              <w:pStyle w:val="27"/>
              <w:spacing w:line="360" w:lineRule="auto"/>
              <w:ind w:left="38"/>
              <w:jc w:val="center"/>
              <w:rPr>
                <w:rFonts w:ascii="仿宋_GB2312" w:hAnsi="仿宋_GB2312" w:eastAsia="仿宋_GB2312" w:cs="Times New Roman"/>
                <w:b/>
                <w:color w:val="000000" w:themeColor="text1"/>
                <w:sz w:val="21"/>
                <w:szCs w:val="21"/>
                <w14:textFill>
                  <w14:solidFill>
                    <w14:schemeClr w14:val="tx1"/>
                  </w14:solidFill>
                </w14:textFill>
              </w:rPr>
            </w:pPr>
            <w:r>
              <w:rPr>
                <w:rFonts w:hint="eastAsia" w:ascii="仿宋_GB2312" w:hAnsi="仿宋_GB2312" w:eastAsia="仿宋_GB2312" w:cs="仿宋"/>
                <w:b/>
                <w:color w:val="000000" w:themeColor="text1"/>
                <w:sz w:val="21"/>
                <w:szCs w:val="21"/>
                <w14:textFill>
                  <w14:solidFill>
                    <w14:schemeClr w14:val="tx1"/>
                  </w14:solidFill>
                </w14:textFill>
              </w:rPr>
              <w:t>（实质性要求）</w:t>
            </w:r>
          </w:p>
        </w:tc>
        <w:tc>
          <w:tcPr>
            <w:tcW w:w="6084" w:type="dxa"/>
            <w:vAlign w:val="center"/>
          </w:tcPr>
          <w:p w14:paraId="6A79E155">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1.在评审过程中，</w:t>
            </w:r>
            <w:r>
              <w:rPr>
                <w:rFonts w:hint="eastAsia" w:ascii="仿宋_GB2312" w:hAnsi="仿宋_GB2312" w:eastAsia="仿宋_GB2312" w:cs="仿宋"/>
                <w:sz w:val="21"/>
                <w:szCs w:val="21"/>
                <w:lang w:val="zh-CN" w:eastAsia="zh-CN" w:bidi="ar-SA"/>
              </w:rPr>
              <w:t>竞争性谈判小组认为供应商报价明显低于其他合格供应商的报价，</w:t>
            </w:r>
            <w:r>
              <w:rPr>
                <w:rFonts w:hint="eastAsia" w:ascii="仿宋_GB2312" w:hAnsi="仿宋_GB2312" w:eastAsia="仿宋_GB2312" w:cs="仿宋"/>
                <w:sz w:val="21"/>
                <w:szCs w:val="21"/>
                <w:lang w:val="zh-CN"/>
              </w:rPr>
              <w:t>有可能影响</w:t>
            </w:r>
            <w:r>
              <w:rPr>
                <w:rFonts w:hint="eastAsia" w:ascii="仿宋_GB2312" w:hAnsi="仿宋_GB2312" w:eastAsia="仿宋_GB2312" w:cs="仿宋"/>
                <w:sz w:val="21"/>
                <w:szCs w:val="21"/>
              </w:rPr>
              <w:t>服务</w:t>
            </w:r>
            <w:r>
              <w:rPr>
                <w:rFonts w:hint="eastAsia" w:ascii="仿宋_GB2312" w:hAnsi="仿宋_GB2312" w:eastAsia="仿宋_GB2312" w:cs="仿宋"/>
                <w:sz w:val="21"/>
                <w:szCs w:val="21"/>
                <w:lang w:val="zh-CN"/>
              </w:rPr>
              <w:t>质量或者不能诚信履约的，谈判小组应当要求其在谈判现场合理的时间内提供书面说明，并提交相关证明材料，供应商不能证明其报价合理性的，谈判小组应当将其作为无效处理。供应商的书面说明材料应当按照国家财务会计制度的规定要求，逐项就供应商提供的服务的主营业务成本、税金及附加、管理费用、财务费用等成本构成事项详细陈述。</w:t>
            </w:r>
          </w:p>
          <w:p w14:paraId="062DE037">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2.供应商书面说明应当签字确认或者加盖公章，否则无效。书面说明的签字确认，由其法定代表人</w:t>
            </w:r>
            <w:r>
              <w:rPr>
                <w:rFonts w:hint="eastAsia" w:ascii="仿宋_GB2312" w:hAnsi="仿宋_GB2312" w:eastAsia="仿宋_GB2312" w:cs="仿宋"/>
                <w:color w:val="000000" w:themeColor="text1"/>
                <w:sz w:val="21"/>
                <w:szCs w:val="21"/>
                <w14:textFill>
                  <w14:solidFill>
                    <w14:schemeClr w14:val="tx1"/>
                  </w14:solidFill>
                </w14:textFill>
              </w:rPr>
              <w:t>/</w:t>
            </w:r>
            <w:r>
              <w:rPr>
                <w:rFonts w:hint="eastAsia" w:ascii="仿宋_GB2312" w:hAnsi="仿宋_GB2312" w:eastAsia="仿宋_GB2312" w:cs="仿宋"/>
                <w:color w:val="000000" w:themeColor="text1"/>
                <w:sz w:val="21"/>
                <w:szCs w:val="21"/>
                <w:lang w:val="zh-CN"/>
                <w14:textFill>
                  <w14:solidFill>
                    <w14:schemeClr w14:val="tx1"/>
                  </w14:solidFill>
                </w14:textFill>
              </w:rPr>
              <w:t xml:space="preserve">主要负责人/本人或者其授权代表签字确认。 </w:t>
            </w:r>
          </w:p>
          <w:p w14:paraId="2E746E31">
            <w:pPr>
              <w:pStyle w:val="27"/>
              <w:spacing w:line="360" w:lineRule="auto"/>
              <w:ind w:firstLine="315" w:firstLineChars="15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3.供应商提供书面说明后，谈判小组应当结合采购需求、专业实际情况</w:t>
            </w:r>
            <w:r>
              <w:rPr>
                <w:rFonts w:hint="eastAsia" w:ascii="仿宋_GB2312" w:hAnsi="仿宋_GB2312" w:eastAsia="仿宋_GB2312" w:cs="仿宋"/>
                <w:color w:val="000000" w:themeColor="text1"/>
                <w:sz w:val="21"/>
                <w:szCs w:val="21"/>
                <w14:textFill>
                  <w14:solidFill>
                    <w14:schemeClr w14:val="tx1"/>
                  </w14:solidFill>
                </w14:textFill>
              </w:rPr>
              <w:t>,</w:t>
            </w:r>
            <w:r>
              <w:rPr>
                <w:rFonts w:hint="eastAsia" w:ascii="仿宋_GB2312" w:hAnsi="仿宋_GB2312" w:eastAsia="仿宋_GB2312" w:cs="仿宋"/>
                <w:color w:val="000000" w:themeColor="text1"/>
                <w:sz w:val="21"/>
                <w:szCs w:val="21"/>
                <w:lang w:val="zh-CN"/>
                <w14:textFill>
                  <w14:solidFill>
                    <w14:schemeClr w14:val="tx1"/>
                  </w14:solidFill>
                </w14:textFill>
              </w:rPr>
              <w:t>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59C919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3" w:hRule="atLeast"/>
          <w:jc w:val="center"/>
        </w:trPr>
        <w:tc>
          <w:tcPr>
            <w:tcW w:w="1013" w:type="dxa"/>
            <w:vAlign w:val="center"/>
          </w:tcPr>
          <w:p w14:paraId="5603B6B6">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3</w:t>
            </w:r>
          </w:p>
        </w:tc>
        <w:tc>
          <w:tcPr>
            <w:tcW w:w="2409" w:type="dxa"/>
            <w:vAlign w:val="center"/>
          </w:tcPr>
          <w:p w14:paraId="38AE34FA">
            <w:pPr>
              <w:pStyle w:val="27"/>
              <w:spacing w:line="360" w:lineRule="auto"/>
              <w:ind w:right="230"/>
              <w:jc w:val="center"/>
              <w:rPr>
                <w:rFonts w:ascii="仿宋_GB2312" w:hAnsi="仿宋_GB2312" w:eastAsia="仿宋_GB2312" w:cs="Times New Roman"/>
                <w:sz w:val="21"/>
                <w:szCs w:val="21"/>
                <w:lang w:val="zh-CN"/>
              </w:rPr>
            </w:pPr>
            <w:r>
              <w:rPr>
                <w:rFonts w:hint="eastAsia" w:ascii="仿宋_GB2312" w:hAnsi="仿宋_GB2312" w:eastAsia="仿宋_GB2312" w:cs="Times New Roman"/>
                <w:sz w:val="21"/>
                <w:szCs w:val="21"/>
                <w:lang w:val="zh-CN"/>
              </w:rPr>
              <w:t>履约保证金</w:t>
            </w:r>
          </w:p>
        </w:tc>
        <w:tc>
          <w:tcPr>
            <w:tcW w:w="6084" w:type="dxa"/>
            <w:vAlign w:val="center"/>
          </w:tcPr>
          <w:p w14:paraId="1D3209B0">
            <w:pPr>
              <w:pStyle w:val="27"/>
              <w:spacing w:line="360" w:lineRule="auto"/>
              <w:ind w:right="230"/>
              <w:jc w:val="center"/>
              <w:rPr>
                <w:rFonts w:ascii="仿宋_GB2312" w:hAnsi="仿宋_GB2312" w:eastAsia="仿宋_GB2312" w:cs="Times New Roman"/>
                <w:sz w:val="21"/>
                <w:szCs w:val="21"/>
              </w:rPr>
            </w:pPr>
            <w:bookmarkStart w:id="14" w:name="PO_默认文件内容_17"/>
            <w:r>
              <w:rPr>
                <w:rFonts w:ascii="仿宋_GB2312" w:hAnsi="仿宋_GB2312" w:eastAsia="仿宋_GB2312" w:cs="仿宋"/>
                <w:color w:val="000000" w:themeColor="text1"/>
                <w14:textFill>
                  <w14:solidFill>
                    <w14:schemeClr w14:val="tx1"/>
                  </w14:solidFill>
                </w14:textFill>
              </w:rPr>
              <w:t xml:space="preserve"> </w:t>
            </w:r>
            <w:r>
              <w:rPr>
                <w:rFonts w:hint="eastAsia"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Times New Roman"/>
                <w:sz w:val="21"/>
                <w:szCs w:val="21"/>
              </w:rPr>
              <w:t>本项目不收取履约保证金。</w:t>
            </w:r>
            <w:bookmarkEnd w:id="14"/>
          </w:p>
        </w:tc>
      </w:tr>
      <w:tr w14:paraId="16C8A8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86413E5">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4</w:t>
            </w:r>
          </w:p>
        </w:tc>
        <w:tc>
          <w:tcPr>
            <w:tcW w:w="2409" w:type="dxa"/>
            <w:vAlign w:val="center"/>
          </w:tcPr>
          <w:p w14:paraId="76C2E2BA">
            <w:pPr>
              <w:pStyle w:val="27"/>
              <w:spacing w:line="360" w:lineRule="auto"/>
              <w:ind w:left="38"/>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成交通知书发送</w:t>
            </w:r>
          </w:p>
        </w:tc>
        <w:tc>
          <w:tcPr>
            <w:tcW w:w="6084" w:type="dxa"/>
            <w:vAlign w:val="center"/>
          </w:tcPr>
          <w:p w14:paraId="009C43FA">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成交通知书将通过</w:t>
            </w:r>
            <w:r>
              <w:rPr>
                <w:rFonts w:hint="eastAsia" w:ascii="仿宋_GB2312" w:hAnsi="仿宋_GB2312" w:eastAsia="仿宋_GB2312" w:cs="仿宋"/>
                <w:color w:val="000000" w:themeColor="text1"/>
                <w:sz w:val="21"/>
                <w:szCs w:val="21"/>
                <w14:textFill>
                  <w14:solidFill>
                    <w14:schemeClr w14:val="tx1"/>
                  </w14:solidFill>
                </w14:textFill>
              </w:rPr>
              <w:t>快递或邮件</w:t>
            </w:r>
            <w:r>
              <w:rPr>
                <w:rFonts w:hint="eastAsia" w:ascii="仿宋_GB2312" w:hAnsi="仿宋_GB2312" w:eastAsia="仿宋_GB2312" w:cs="仿宋"/>
                <w:color w:val="000000" w:themeColor="text1"/>
                <w:sz w:val="21"/>
                <w:szCs w:val="21"/>
                <w:lang w:val="zh-CN"/>
                <w14:textFill>
                  <w14:solidFill>
                    <w14:schemeClr w14:val="tx1"/>
                  </w14:solidFill>
                </w14:textFill>
              </w:rPr>
              <w:t>直接推送至成交供应商。</w:t>
            </w:r>
          </w:p>
        </w:tc>
      </w:tr>
      <w:tr w14:paraId="312A43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1013" w:type="dxa"/>
            <w:vAlign w:val="center"/>
          </w:tcPr>
          <w:p w14:paraId="2CA16C7C">
            <w:pPr>
              <w:pStyle w:val="27"/>
              <w:spacing w:line="360" w:lineRule="auto"/>
              <w:ind w:right="230"/>
              <w:rPr>
                <w:rFonts w:ascii="仿宋_GB2312" w:hAnsi="仿宋_GB2312" w:eastAsia="仿宋_GB2312" w:cs="Times New Roman"/>
                <w:sz w:val="21"/>
                <w:szCs w:val="21"/>
              </w:rPr>
            </w:pPr>
          </w:p>
          <w:p w14:paraId="56EB97A2">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5</w:t>
            </w:r>
          </w:p>
          <w:p w14:paraId="52E9EE20">
            <w:pPr>
              <w:pStyle w:val="27"/>
              <w:spacing w:line="360" w:lineRule="auto"/>
              <w:ind w:right="230"/>
              <w:jc w:val="center"/>
              <w:rPr>
                <w:rFonts w:ascii="仿宋_GB2312" w:hAnsi="仿宋_GB2312" w:eastAsia="仿宋_GB2312" w:cs="Times New Roman"/>
                <w:sz w:val="21"/>
                <w:szCs w:val="21"/>
              </w:rPr>
            </w:pPr>
          </w:p>
        </w:tc>
        <w:tc>
          <w:tcPr>
            <w:tcW w:w="2409" w:type="dxa"/>
            <w:vAlign w:val="center"/>
          </w:tcPr>
          <w:p w14:paraId="0B9676C1">
            <w:pPr>
              <w:pStyle w:val="27"/>
              <w:spacing w:line="360" w:lineRule="auto"/>
              <w:ind w:left="38"/>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供应商询问</w:t>
            </w:r>
            <w:r>
              <w:rPr>
                <w:rFonts w:hint="eastAsia" w:ascii="仿宋_GB2312" w:hAnsi="仿宋_GB2312" w:eastAsia="仿宋_GB2312" w:cs="Times New Roman"/>
                <w:sz w:val="21"/>
                <w:szCs w:val="21"/>
                <w:lang w:val="zh-CN"/>
              </w:rPr>
              <w:t>/</w:t>
            </w:r>
            <w:r>
              <w:rPr>
                <w:rFonts w:hint="eastAsia" w:ascii="仿宋_GB2312" w:hAnsi="仿宋_GB2312" w:eastAsia="仿宋_GB2312" w:cs="仿宋"/>
                <w:sz w:val="21"/>
                <w:szCs w:val="21"/>
                <w:lang w:val="zh-CN"/>
              </w:rPr>
              <w:t>质疑</w:t>
            </w:r>
          </w:p>
        </w:tc>
        <w:tc>
          <w:tcPr>
            <w:tcW w:w="6084" w:type="dxa"/>
          </w:tcPr>
          <w:p w14:paraId="2C8D2B89">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ascii="仿宋_GB2312" w:hAnsi="仿宋_GB2312" w:eastAsia="仿宋_GB2312" w:cs="仿宋"/>
                <w:color w:val="000000" w:themeColor="text1"/>
                <w:sz w:val="21"/>
                <w:szCs w:val="21"/>
                <w:lang w:val="zh-CN"/>
                <w14:textFill>
                  <w14:solidFill>
                    <w14:schemeClr w14:val="tx1"/>
                  </w14:solidFill>
                </w14:textFill>
              </w:rPr>
              <w:t>供应商对</w:t>
            </w:r>
            <w:r>
              <w:rPr>
                <w:rFonts w:hint="eastAsia" w:ascii="仿宋_GB2312" w:hAnsi="仿宋_GB2312" w:eastAsia="仿宋_GB2312" w:cs="仿宋"/>
                <w:color w:val="000000" w:themeColor="text1"/>
                <w:sz w:val="21"/>
                <w:szCs w:val="21"/>
                <w:lang w:val="zh-CN"/>
                <w14:textFill>
                  <w14:solidFill>
                    <w14:schemeClr w14:val="tx1"/>
                  </w14:solidFill>
                </w14:textFill>
              </w:rPr>
              <w:t>谈判</w:t>
            </w:r>
            <w:r>
              <w:rPr>
                <w:rFonts w:ascii="仿宋_GB2312" w:hAnsi="仿宋_GB2312" w:eastAsia="仿宋_GB2312" w:cs="仿宋"/>
                <w:color w:val="000000" w:themeColor="text1"/>
                <w:sz w:val="21"/>
                <w:szCs w:val="21"/>
                <w:lang w:val="zh-CN"/>
                <w14:textFill>
                  <w14:solidFill>
                    <w14:schemeClr w14:val="tx1"/>
                  </w14:solidFill>
                </w14:textFill>
              </w:rPr>
              <w:t>文件的询问、质疑，</w:t>
            </w:r>
            <w:r>
              <w:rPr>
                <w:rFonts w:hint="eastAsia" w:ascii="仿宋_GB2312" w:hAnsi="仿宋_GB2312" w:eastAsia="仿宋_GB2312" w:cs="仿宋"/>
                <w:color w:val="000000" w:themeColor="text1"/>
                <w:sz w:val="21"/>
                <w:szCs w:val="21"/>
                <w:lang w:val="zh-CN"/>
                <w14:textFill>
                  <w14:solidFill>
                    <w14:schemeClr w14:val="tx1"/>
                  </w14:solidFill>
                </w14:textFill>
              </w:rPr>
              <w:t>对采购过程、采购结果的询问、质疑</w:t>
            </w:r>
            <w:r>
              <w:rPr>
                <w:rFonts w:ascii="仿宋_GB2312" w:hAnsi="仿宋_GB2312" w:eastAsia="仿宋_GB2312" w:cs="仿宋"/>
                <w:color w:val="000000" w:themeColor="text1"/>
                <w:sz w:val="21"/>
                <w:szCs w:val="21"/>
                <w:lang w:val="zh-CN"/>
                <w14:textFill>
                  <w14:solidFill>
                    <w14:schemeClr w14:val="tx1"/>
                  </w14:solidFill>
                </w14:textFill>
              </w:rPr>
              <w:t>由</w:t>
            </w:r>
            <w:r>
              <w:rPr>
                <w:rFonts w:hint="eastAsia" w:ascii="仿宋_GB2312" w:hAnsi="仿宋_GB2312" w:eastAsia="仿宋_GB2312" w:cs="仿宋"/>
                <w:color w:val="000000" w:themeColor="text1"/>
                <w:sz w:val="21"/>
                <w:szCs w:val="21"/>
                <w14:textFill>
                  <w14:solidFill>
                    <w14:schemeClr w14:val="tx1"/>
                  </w14:solidFill>
                </w14:textFill>
              </w:rPr>
              <w:t>统一由谈判小组</w:t>
            </w:r>
            <w:r>
              <w:rPr>
                <w:rFonts w:ascii="仿宋_GB2312" w:hAnsi="仿宋_GB2312" w:eastAsia="仿宋_GB2312" w:cs="仿宋"/>
                <w:color w:val="000000" w:themeColor="text1"/>
                <w:sz w:val="21"/>
                <w:szCs w:val="21"/>
                <w:lang w:val="zh-CN"/>
                <w14:textFill>
                  <w14:solidFill>
                    <w14:schemeClr w14:val="tx1"/>
                  </w14:solidFill>
                </w14:textFill>
              </w:rPr>
              <w:t>负责答复</w:t>
            </w:r>
            <w:r>
              <w:rPr>
                <w:rFonts w:hint="eastAsia" w:ascii="仿宋_GB2312" w:hAnsi="仿宋_GB2312" w:eastAsia="仿宋_GB2312" w:cs="仿宋"/>
                <w:color w:val="000000" w:themeColor="text1"/>
                <w:sz w:val="21"/>
                <w:szCs w:val="21"/>
                <w:lang w:val="zh-CN"/>
                <w14:textFill>
                  <w14:solidFill>
                    <w14:schemeClr w14:val="tx1"/>
                  </w14:solidFill>
                </w14:textFill>
              </w:rPr>
              <w:t>。</w:t>
            </w:r>
          </w:p>
          <w:p w14:paraId="546D43D5">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询问方式：书面询问或口头询问</w:t>
            </w:r>
          </w:p>
          <w:p w14:paraId="073A8FA1">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质疑方式：书面质疑</w:t>
            </w:r>
          </w:p>
          <w:p w14:paraId="52500C55">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ascii="仿宋_GB2312" w:hAnsi="仿宋_GB2312" w:eastAsia="仿宋_GB2312" w:cs="仿宋"/>
                <w:color w:val="000000" w:themeColor="text1"/>
                <w:sz w:val="21"/>
                <w:szCs w:val="21"/>
                <w:lang w:val="zh-CN"/>
                <w14:textFill>
                  <w14:solidFill>
                    <w14:schemeClr w14:val="tx1"/>
                  </w14:solidFill>
                </w14:textFill>
              </w:rPr>
              <w:t>对</w:t>
            </w:r>
            <w:r>
              <w:rPr>
                <w:rFonts w:hint="eastAsia" w:ascii="仿宋_GB2312" w:hAnsi="仿宋_GB2312" w:eastAsia="仿宋_GB2312" w:cs="仿宋"/>
                <w:color w:val="000000" w:themeColor="text1"/>
                <w:sz w:val="21"/>
                <w:szCs w:val="21"/>
                <w:lang w:val="zh-CN"/>
                <w14:textFill>
                  <w14:solidFill>
                    <w14:schemeClr w14:val="tx1"/>
                  </w14:solidFill>
                </w14:textFill>
              </w:rPr>
              <w:t>谈判</w:t>
            </w:r>
            <w:r>
              <w:rPr>
                <w:rFonts w:ascii="仿宋_GB2312" w:hAnsi="仿宋_GB2312" w:eastAsia="仿宋_GB2312" w:cs="仿宋"/>
                <w:color w:val="000000" w:themeColor="text1"/>
                <w:sz w:val="21"/>
                <w:szCs w:val="21"/>
                <w:lang w:val="zh-CN"/>
                <w14:textFill>
                  <w14:solidFill>
                    <w14:schemeClr w14:val="tx1"/>
                  </w14:solidFill>
                </w14:textFill>
              </w:rPr>
              <w:t>文件的询问、质疑</w:t>
            </w:r>
            <w:r>
              <w:rPr>
                <w:rFonts w:hint="eastAsia" w:ascii="仿宋_GB2312" w:hAnsi="仿宋_GB2312" w:eastAsia="仿宋_GB2312" w:cs="仿宋"/>
                <w:color w:val="000000" w:themeColor="text1"/>
                <w:sz w:val="21"/>
                <w:szCs w:val="21"/>
                <w:lang w:val="zh-CN"/>
                <w14:textFill>
                  <w14:solidFill>
                    <w14:schemeClr w14:val="tx1"/>
                  </w14:solidFill>
                </w14:textFill>
              </w:rPr>
              <w:t>接收；对采购过程、采购结果的询问、质疑接收、处理联系方式如下：</w:t>
            </w:r>
          </w:p>
          <w:p w14:paraId="7A10C6B3">
            <w:pPr>
              <w:pStyle w:val="27"/>
              <w:spacing w:line="360" w:lineRule="auto"/>
              <w:ind w:firstLine="210" w:firstLineChars="100"/>
              <w:jc w:val="both"/>
              <w:rPr>
                <w:rFonts w:hint="eastAsia" w:ascii="仿宋_GB2312" w:hAnsi="仿宋_GB2312" w:eastAsia="仿宋_GB2312" w:cs="仿宋"/>
                <w:color w:val="000000" w:themeColor="text1"/>
                <w:sz w:val="21"/>
                <w:szCs w:val="21"/>
                <w:lang w:eastAsia="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联系人：</w:t>
            </w:r>
            <w:r>
              <w:rPr>
                <w:rFonts w:hint="eastAsia" w:ascii="仿宋_GB2312" w:hAnsi="仿宋_GB2312" w:eastAsia="仿宋_GB2312" w:cs="仿宋"/>
                <w:color w:val="000000" w:themeColor="text1"/>
                <w:sz w:val="21"/>
                <w:szCs w:val="21"/>
                <w:lang w:eastAsia="zh-CN"/>
                <w14:textFill>
                  <w14:solidFill>
                    <w14:schemeClr w14:val="tx1"/>
                  </w14:solidFill>
                </w14:textFill>
              </w:rPr>
              <w:t>李先生</w:t>
            </w:r>
          </w:p>
          <w:p w14:paraId="11972AC1">
            <w:pPr>
              <w:pStyle w:val="27"/>
              <w:spacing w:line="360" w:lineRule="auto"/>
              <w:ind w:firstLine="210" w:firstLineChars="100"/>
              <w:jc w:val="both"/>
              <w:rPr>
                <w:rFonts w:hint="eastAsia" w:ascii="仿宋_GB2312" w:hAnsi="仿宋_GB2312" w:eastAsia="仿宋_GB2312" w:cs="仿宋"/>
                <w:color w:val="000000" w:themeColor="text1"/>
                <w:sz w:val="21"/>
                <w:szCs w:val="21"/>
                <w:lang w:val="en-US" w:eastAsia="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联系电话：0827-5868862</w:t>
            </w:r>
            <w:r>
              <w:rPr>
                <w:rFonts w:hint="eastAsia" w:ascii="仿宋_GB2312" w:hAnsi="仿宋_GB2312" w:eastAsia="仿宋_GB2312" w:cs="仿宋"/>
                <w:color w:val="000000" w:themeColor="text1"/>
                <w:sz w:val="21"/>
                <w:szCs w:val="21"/>
                <w14:textFill>
                  <w14:solidFill>
                    <w14:schemeClr w14:val="tx1"/>
                  </w14:solidFill>
                </w14:textFill>
              </w:rPr>
              <w:t>或</w:t>
            </w:r>
            <w:bookmarkStart w:id="15" w:name="PO_默认文件内容_19"/>
            <w:r>
              <w:rPr>
                <w:rFonts w:hint="eastAsia" w:ascii="仿宋_GB2312" w:hAnsi="仿宋_GB2312" w:eastAsia="仿宋_GB2312" w:cs="仿宋"/>
                <w:color w:val="000000" w:themeColor="text1"/>
                <w:sz w:val="21"/>
                <w:szCs w:val="21"/>
                <w:lang w:val="en-US" w:eastAsia="zh-CN"/>
                <w14:textFill>
                  <w14:solidFill>
                    <w14:schemeClr w14:val="tx1"/>
                  </w14:solidFill>
                </w14:textFill>
              </w:rPr>
              <w:t>16683301223</w:t>
            </w:r>
          </w:p>
          <w:p w14:paraId="70FFF3DD">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通讯地址：巴中市经济技术开发区西溪社区6组23号</w:t>
            </w:r>
          </w:p>
          <w:p w14:paraId="1C6BAFA9">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注：供应商应按照本文件的规定获取谈判文件，才能被视为依法获取谈判文件的潜在供应商。</w:t>
            </w:r>
          </w:p>
          <w:p w14:paraId="01E57197">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注：根据《中华人民共和国政府采购法》《政府采购质疑和投诉办法》（财政部令第94号）等规定，供应商质疑不得超出采购文件、采购过程、采购结果的范围，供应商针对同一采购程序环节的质疑应在法定质疑期内一次性提出</w:t>
            </w:r>
            <w:bookmarkEnd w:id="15"/>
            <w:r>
              <w:rPr>
                <w:rFonts w:hint="eastAsia" w:ascii="仿宋_GB2312" w:hAnsi="仿宋_GB2312" w:eastAsia="仿宋_GB2312" w:cs="仿宋"/>
                <w:color w:val="000000" w:themeColor="text1"/>
                <w:sz w:val="21"/>
                <w:szCs w:val="21"/>
                <w:lang w:val="zh-CN"/>
                <w14:textFill>
                  <w14:solidFill>
                    <w14:schemeClr w14:val="tx1"/>
                  </w14:solidFill>
                </w14:textFill>
              </w:rPr>
              <w:t>。</w:t>
            </w:r>
          </w:p>
        </w:tc>
      </w:tr>
      <w:tr w14:paraId="211F7B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0" w:hRule="atLeast"/>
          <w:jc w:val="center"/>
        </w:trPr>
        <w:tc>
          <w:tcPr>
            <w:tcW w:w="1013" w:type="dxa"/>
            <w:tcBorders>
              <w:bottom w:val="single" w:color="auto" w:sz="4" w:space="0"/>
            </w:tcBorders>
            <w:vAlign w:val="center"/>
          </w:tcPr>
          <w:p w14:paraId="046E7724">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6</w:t>
            </w:r>
          </w:p>
        </w:tc>
        <w:tc>
          <w:tcPr>
            <w:tcW w:w="2409" w:type="dxa"/>
            <w:tcBorders>
              <w:bottom w:val="single" w:color="auto" w:sz="4" w:space="0"/>
            </w:tcBorders>
            <w:vAlign w:val="center"/>
          </w:tcPr>
          <w:p w14:paraId="4E161120">
            <w:pPr>
              <w:pStyle w:val="27"/>
              <w:spacing w:line="360" w:lineRule="auto"/>
              <w:ind w:left="96"/>
              <w:jc w:val="center"/>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供应商投诉</w:t>
            </w:r>
          </w:p>
        </w:tc>
        <w:tc>
          <w:tcPr>
            <w:tcW w:w="6084" w:type="dxa"/>
            <w:tcBorders>
              <w:bottom w:val="single" w:color="auto" w:sz="4" w:space="0"/>
            </w:tcBorders>
            <w:vAlign w:val="center"/>
          </w:tcPr>
          <w:p w14:paraId="2FF7A09C">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投诉受理单位：</w:t>
            </w:r>
            <w:r>
              <w:rPr>
                <w:rFonts w:hint="eastAsia" w:ascii="仿宋_GB2312" w:hAnsi="仿宋_GB2312" w:eastAsia="仿宋_GB2312" w:cs="仿宋"/>
                <w:sz w:val="21"/>
                <w:szCs w:val="21"/>
              </w:rPr>
              <w:t>巴中市秦巴田园农业发展有限公司</w:t>
            </w:r>
            <w:r>
              <w:rPr>
                <w:rFonts w:hint="eastAsia" w:ascii="仿宋_GB2312" w:hAnsi="仿宋_GB2312" w:eastAsia="仿宋_GB2312" w:cs="仿宋"/>
                <w:sz w:val="21"/>
                <w:szCs w:val="21"/>
                <w:lang w:val="zh-CN"/>
              </w:rPr>
              <w:t>。</w:t>
            </w:r>
          </w:p>
          <w:p w14:paraId="119C7B48">
            <w:pPr>
              <w:pStyle w:val="27"/>
              <w:spacing w:line="360" w:lineRule="auto"/>
              <w:ind w:firstLine="210" w:firstLineChars="100"/>
              <w:jc w:val="both"/>
              <w:rPr>
                <w:rFonts w:ascii="仿宋_GB2312" w:hAnsi="仿宋_GB2312" w:eastAsia="仿宋_GB2312" w:cs="仿宋"/>
                <w:sz w:val="21"/>
                <w:szCs w:val="21"/>
              </w:rPr>
            </w:pPr>
            <w:r>
              <w:rPr>
                <w:rFonts w:hint="eastAsia" w:ascii="仿宋_GB2312" w:hAnsi="仿宋_GB2312" w:eastAsia="仿宋_GB2312" w:cs="仿宋"/>
                <w:sz w:val="21"/>
                <w:szCs w:val="21"/>
                <w:lang w:val="zh-CN"/>
              </w:rPr>
              <w:t>投诉受理电话：</w:t>
            </w:r>
            <w:r>
              <w:rPr>
                <w:rFonts w:hint="eastAsia" w:ascii="仿宋_GB2312" w:hAnsi="仿宋_GB2312" w:eastAsia="仿宋_GB2312" w:cs="仿宋"/>
                <w:color w:val="000000" w:themeColor="text1"/>
                <w:sz w:val="21"/>
                <w:szCs w:val="21"/>
                <w:lang w:val="zh-CN"/>
                <w14:textFill>
                  <w14:solidFill>
                    <w14:schemeClr w14:val="tx1"/>
                  </w14:solidFill>
                </w14:textFill>
              </w:rPr>
              <w:t>0827-5868862</w:t>
            </w:r>
          </w:p>
          <w:p w14:paraId="030C59C5">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注：根据《中华人民共和国政府采购法》《政府采购质疑和投诉办法》（财政部令第94号）及其他有关等规定，供应商投诉事项不得超出已质疑事项的范围。</w:t>
            </w:r>
          </w:p>
        </w:tc>
      </w:tr>
      <w:tr w14:paraId="141C35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E8CA707">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7</w:t>
            </w:r>
          </w:p>
        </w:tc>
        <w:tc>
          <w:tcPr>
            <w:tcW w:w="2409" w:type="dxa"/>
            <w:vAlign w:val="center"/>
          </w:tcPr>
          <w:p w14:paraId="5D12A751">
            <w:pPr>
              <w:pStyle w:val="4"/>
              <w:keepNext w:val="0"/>
              <w:keepLines w:val="0"/>
              <w:spacing w:before="0" w:after="0" w:line="360" w:lineRule="auto"/>
              <w:jc w:val="center"/>
              <w:rPr>
                <w:rFonts w:ascii="仿宋_GB2312" w:hAnsi="仿宋_GB2312" w:eastAsia="仿宋_GB2312" w:cs="仿宋"/>
                <w:sz w:val="21"/>
                <w:szCs w:val="21"/>
                <w:lang w:val="zh-CN"/>
              </w:rPr>
            </w:pPr>
            <w:r>
              <w:rPr>
                <w:rFonts w:hint="eastAsia" w:ascii="仿宋_GB2312" w:hAnsi="仿宋_GB2312" w:eastAsia="仿宋_GB2312" w:cs="仿宋"/>
                <w:b w:val="0"/>
                <w:bCs w:val="0"/>
                <w:kern w:val="0"/>
                <w:sz w:val="21"/>
                <w:szCs w:val="21"/>
                <w:lang w:val="zh-CN"/>
              </w:rPr>
              <w:t>费用承担</w:t>
            </w:r>
          </w:p>
        </w:tc>
        <w:tc>
          <w:tcPr>
            <w:tcW w:w="6084" w:type="dxa"/>
            <w:vAlign w:val="center"/>
          </w:tcPr>
          <w:p w14:paraId="4595D552">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供应商应自行承担参加本次采购活动的全部费用。</w:t>
            </w:r>
          </w:p>
        </w:tc>
      </w:tr>
      <w:tr w14:paraId="6D5F98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F4881DA">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8</w:t>
            </w:r>
          </w:p>
        </w:tc>
        <w:tc>
          <w:tcPr>
            <w:tcW w:w="2409" w:type="dxa"/>
            <w:vAlign w:val="center"/>
          </w:tcPr>
          <w:p w14:paraId="2FA9AA01">
            <w:pPr>
              <w:pStyle w:val="27"/>
              <w:spacing w:line="360" w:lineRule="auto"/>
              <w:rPr>
                <w:rFonts w:ascii="仿宋_GB2312" w:hAnsi="仿宋_GB2312" w:eastAsia="仿宋_GB2312" w:cs="仿宋"/>
                <w:bCs/>
                <w:sz w:val="21"/>
                <w:szCs w:val="21"/>
              </w:rPr>
            </w:pPr>
          </w:p>
          <w:p w14:paraId="356F41FC">
            <w:pPr>
              <w:pStyle w:val="27"/>
              <w:spacing w:line="360" w:lineRule="auto"/>
              <w:ind w:left="96"/>
              <w:jc w:val="center"/>
              <w:rPr>
                <w:rFonts w:ascii="仿宋_GB2312" w:hAnsi="仿宋_GB2312" w:eastAsia="仿宋_GB2312" w:cs="仿宋"/>
                <w:sz w:val="21"/>
                <w:szCs w:val="21"/>
                <w:lang w:val="zh-CN"/>
              </w:rPr>
            </w:pPr>
            <w:r>
              <w:rPr>
                <w:rFonts w:hint="eastAsia" w:ascii="仿宋_GB2312" w:hAnsi="仿宋_GB2312" w:eastAsia="仿宋_GB2312" w:cs="仿宋"/>
                <w:bCs/>
                <w:sz w:val="21"/>
                <w:szCs w:val="21"/>
              </w:rPr>
              <w:t>充分、公平竞争保障措施</w:t>
            </w:r>
            <w:r>
              <w:rPr>
                <w:rFonts w:hint="eastAsia" w:ascii="仿宋_GB2312" w:hAnsi="仿宋_GB2312" w:eastAsia="仿宋_GB2312" w:cs="仿宋"/>
                <w:b/>
                <w:bCs/>
                <w:sz w:val="21"/>
                <w:szCs w:val="21"/>
              </w:rPr>
              <w:t>（实质性要求）</w:t>
            </w:r>
          </w:p>
        </w:tc>
        <w:tc>
          <w:tcPr>
            <w:tcW w:w="6084" w:type="dxa"/>
            <w:vAlign w:val="center"/>
          </w:tcPr>
          <w:p w14:paraId="65FBD22A">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 xml:space="preserve">1．单位负责人为同一人或者存在直接控股、管理关系的不同供应商不得参加同一合同项下的政府采购活动。 </w:t>
            </w:r>
          </w:p>
          <w:p w14:paraId="60671CD8">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2.不同供应商不得在同一合同项下的采购项目中，委托同一个自然人、同一单位的人员编制响应文件。</w:t>
            </w:r>
          </w:p>
          <w:p w14:paraId="202F1D00">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3.不同供应商不得在同一合同项下的采购项目中，委托同一个自然人、同一单位的人员办理响应事宜。</w:t>
            </w:r>
          </w:p>
          <w:p w14:paraId="426E611E">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4.不同供应商的响应文件载明的项目管理成员或者联系人员不得为同一人。</w:t>
            </w:r>
          </w:p>
          <w:p w14:paraId="1DA199C1">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5.不同供应商的响应文件不得相互混装。</w:t>
            </w:r>
          </w:p>
          <w:p w14:paraId="615F531D">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6. 为项目中涉及的相关法律问题提供咨询意见、为项目中涉及的案件提供代理服务、参与与项目相关的讨论和谈判、草拟、审查、修改有关项目的的协议等有关文件、协助</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制定与项目相关的办理方案、协助</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与有关地方政府主管部门沟通、协调、协助</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拟定项目相关的材料并提供专业意见、办理</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委托的有关项目的其他事项，维护</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的合法权益。</w:t>
            </w:r>
          </w:p>
          <w:p w14:paraId="7AB27558">
            <w:pPr>
              <w:pStyle w:val="27"/>
              <w:spacing w:line="360" w:lineRule="auto"/>
              <w:jc w:val="both"/>
              <w:rPr>
                <w:rFonts w:ascii="仿宋_GB2312" w:hAnsi="仿宋_GB2312" w:eastAsia="仿宋_GB2312" w:cs="仿宋"/>
                <w:sz w:val="21"/>
                <w:szCs w:val="21"/>
                <w:lang w:val="zh-CN"/>
              </w:rPr>
            </w:pPr>
          </w:p>
        </w:tc>
      </w:tr>
      <w:tr w14:paraId="3525F8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25CAD97">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9</w:t>
            </w:r>
          </w:p>
        </w:tc>
        <w:tc>
          <w:tcPr>
            <w:tcW w:w="2409" w:type="dxa"/>
            <w:vAlign w:val="center"/>
          </w:tcPr>
          <w:p w14:paraId="41F4CC7A">
            <w:pPr>
              <w:pStyle w:val="27"/>
              <w:spacing w:line="360" w:lineRule="auto"/>
              <w:ind w:left="96"/>
              <w:jc w:val="center"/>
              <w:rPr>
                <w:rFonts w:ascii="仿宋_GB2312" w:hAnsi="仿宋_GB2312" w:eastAsia="仿宋_GB2312" w:cs="仿宋"/>
                <w:bCs/>
                <w:sz w:val="21"/>
                <w:szCs w:val="21"/>
              </w:rPr>
            </w:pPr>
            <w:r>
              <w:rPr>
                <w:rFonts w:hint="eastAsia" w:ascii="仿宋_GB2312" w:hAnsi="仿宋_GB2312" w:eastAsia="仿宋_GB2312" w:cs="仿宋"/>
                <w:bCs/>
                <w:sz w:val="21"/>
                <w:szCs w:val="21"/>
              </w:rPr>
              <w:t>响应有效期</w:t>
            </w:r>
          </w:p>
          <w:p w14:paraId="2865FAAE">
            <w:pPr>
              <w:pStyle w:val="27"/>
              <w:spacing w:line="360" w:lineRule="auto"/>
              <w:ind w:left="96"/>
              <w:jc w:val="center"/>
              <w:rPr>
                <w:rFonts w:ascii="仿宋_GB2312" w:hAnsi="仿宋_GB2312" w:eastAsia="仿宋_GB2312" w:cs="仿宋"/>
                <w:bCs/>
                <w:sz w:val="21"/>
                <w:szCs w:val="21"/>
              </w:rPr>
            </w:pPr>
            <w:r>
              <w:rPr>
                <w:rFonts w:hint="eastAsia" w:ascii="仿宋_GB2312" w:hAnsi="仿宋_GB2312" w:eastAsia="仿宋_GB2312" w:cs="仿宋"/>
                <w:b/>
                <w:bCs/>
                <w:sz w:val="21"/>
                <w:szCs w:val="21"/>
              </w:rPr>
              <w:t>（实质性要求）</w:t>
            </w:r>
          </w:p>
        </w:tc>
        <w:tc>
          <w:tcPr>
            <w:tcW w:w="6084" w:type="dxa"/>
            <w:vAlign w:val="center"/>
          </w:tcPr>
          <w:p w14:paraId="0455E145">
            <w:pPr>
              <w:pStyle w:val="27"/>
              <w:spacing w:line="360" w:lineRule="auto"/>
              <w:ind w:firstLine="210" w:firstLineChars="100"/>
              <w:jc w:val="both"/>
              <w:rPr>
                <w:rFonts w:ascii="仿宋_GB2312" w:hAnsi="仿宋_GB2312" w:eastAsia="仿宋_GB2312" w:cs="仿宋"/>
                <w:sz w:val="21"/>
                <w:szCs w:val="21"/>
              </w:rPr>
            </w:pPr>
            <w:r>
              <w:rPr>
                <w:rFonts w:hint="eastAsia" w:ascii="仿宋_GB2312" w:hAnsi="仿宋_GB2312" w:eastAsia="仿宋_GB2312" w:cs="仿宋"/>
                <w:sz w:val="21"/>
                <w:szCs w:val="21"/>
                <w:lang w:val="zh-CN"/>
              </w:rPr>
              <w:t>本项目响应有效期：从首次提交谈判响应文件截止之日起，不得少于90天。</w:t>
            </w:r>
            <w:r>
              <w:rPr>
                <w:rFonts w:hint="eastAsia" w:ascii="仿宋_GB2312" w:hAnsi="仿宋_GB2312" w:eastAsia="仿宋_GB2312" w:cs="仿宋"/>
                <w:color w:val="000000" w:themeColor="text1"/>
                <w:sz w:val="21"/>
                <w:szCs w:val="21"/>
                <w:lang w:val="zh-CN"/>
                <w14:textFill>
                  <w14:solidFill>
                    <w14:schemeClr w14:val="tx1"/>
                  </w14:solidFill>
                </w14:textFill>
              </w:rPr>
              <w:t>在响应</w:t>
            </w:r>
            <w:r>
              <w:rPr>
                <w:rFonts w:hint="eastAsia" w:ascii="仿宋_GB2312" w:hAnsi="仿宋_GB2312" w:eastAsia="仿宋_GB2312" w:cs="仿宋"/>
                <w:sz w:val="21"/>
                <w:szCs w:val="21"/>
                <w:lang w:val="zh-CN"/>
              </w:rPr>
              <w:t>文件有效期内，供应商不得撤销响应文件，坚持撤销的，撤销无效。供应商响应文件中必须载明响应文件有效期，响应文件中载明的响应文件有效期可以长于谈判文件规定的期限，但不得短于谈判文件规定的期限。否则，其响应文件将作为无效处理。</w:t>
            </w:r>
          </w:p>
        </w:tc>
      </w:tr>
      <w:tr w14:paraId="19466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9B0F093">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10</w:t>
            </w:r>
          </w:p>
        </w:tc>
        <w:tc>
          <w:tcPr>
            <w:tcW w:w="2409" w:type="dxa"/>
            <w:vAlign w:val="center"/>
          </w:tcPr>
          <w:p w14:paraId="37669C8E">
            <w:pPr>
              <w:pStyle w:val="3"/>
              <w:spacing w:before="450" w:after="300" w:line="540" w:lineRule="atLeast"/>
              <w:jc w:val="center"/>
              <w:textAlignment w:val="baseline"/>
              <w:rPr>
                <w:rFonts w:ascii="仿宋_GB2312" w:hAnsi="仿宋_GB2312" w:eastAsia="仿宋_GB2312" w:cs="仿宋"/>
                <w:b w:val="0"/>
                <w:kern w:val="0"/>
                <w:sz w:val="21"/>
                <w:szCs w:val="21"/>
              </w:rPr>
            </w:pPr>
            <w:r>
              <w:rPr>
                <w:rFonts w:hint="eastAsia" w:ascii="仿宋_GB2312" w:hAnsi="仿宋_GB2312" w:eastAsia="仿宋_GB2312" w:cs="仿宋"/>
                <w:b w:val="0"/>
                <w:kern w:val="0"/>
                <w:sz w:val="21"/>
                <w:szCs w:val="21"/>
              </w:rPr>
              <w:t>信用记录查询及使用</w:t>
            </w:r>
          </w:p>
          <w:p w14:paraId="5CAB0025">
            <w:pPr>
              <w:pStyle w:val="27"/>
              <w:spacing w:line="360" w:lineRule="auto"/>
              <w:ind w:left="96"/>
              <w:jc w:val="center"/>
              <w:rPr>
                <w:rFonts w:ascii="仿宋_GB2312" w:hAnsi="仿宋_GB2312" w:eastAsia="仿宋_GB2312" w:cs="仿宋"/>
                <w:bCs/>
                <w:sz w:val="21"/>
                <w:szCs w:val="21"/>
              </w:rPr>
            </w:pPr>
          </w:p>
        </w:tc>
        <w:tc>
          <w:tcPr>
            <w:tcW w:w="6084" w:type="dxa"/>
            <w:vAlign w:val="center"/>
          </w:tcPr>
          <w:p w14:paraId="1143335B">
            <w:pPr>
              <w:pStyle w:val="27"/>
              <w:spacing w:line="360" w:lineRule="auto"/>
              <w:ind w:firstLine="210" w:firstLineChars="100"/>
              <w:jc w:val="both"/>
              <w:rPr>
                <w:rFonts w:ascii="仿宋_GB2312" w:hAnsi="仿宋_GB2312" w:eastAsia="仿宋_GB2312" w:cs="仿宋"/>
                <w:sz w:val="21"/>
                <w:szCs w:val="21"/>
                <w:highlight w:val="yellow"/>
                <w:lang w:val="zh-CN"/>
              </w:rPr>
            </w:pPr>
            <w:r>
              <w:rPr>
                <w:rFonts w:hint="eastAsia" w:ascii="仿宋_GB2312" w:hAnsi="仿宋_GB2312" w:eastAsia="仿宋_GB2312" w:cs="仿宋"/>
                <w:sz w:val="21"/>
                <w:szCs w:val="21"/>
                <w:lang w:val="zh-CN"/>
              </w:rPr>
              <w:t>采购人在供应商递交响应文件时间截止后</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应当通过</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信用中国</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rPr>
                <w:rFonts w:ascii="仿宋_GB2312" w:hAnsi="仿宋_GB2312" w:eastAsia="仿宋_GB2312" w:cs="仿宋"/>
                <w:sz w:val="21"/>
                <w:szCs w:val="21"/>
              </w:rPr>
              <w:t>www.creditchina.gov.cn</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中国政府采购网</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rPr>
                <w:rFonts w:ascii="仿宋_GB2312" w:hAnsi="仿宋_GB2312" w:eastAsia="仿宋_GB2312" w:cs="仿宋"/>
                <w:sz w:val="21"/>
                <w:szCs w:val="21"/>
              </w:rPr>
              <w:t>www.ccgp.gov.cn</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中国执行信息公开</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fldChar w:fldCharType="begin"/>
            </w:r>
            <w:r>
              <w:instrText xml:space="preserve"> HYPERLINK "http://zxgk.court.gov.cn" </w:instrText>
            </w:r>
            <w:r>
              <w:fldChar w:fldCharType="separate"/>
            </w:r>
            <w:r>
              <w:rPr>
                <w:rFonts w:ascii="仿宋_GB2312" w:hAnsi="仿宋_GB2312" w:eastAsia="仿宋_GB2312" w:cs="仿宋"/>
                <w:sz w:val="21"/>
                <w:szCs w:val="21"/>
              </w:rPr>
              <w:t>http://zxgk.court.gov.cn</w:t>
            </w:r>
            <w:r>
              <w:rPr>
                <w:rFonts w:ascii="仿宋_GB2312" w:hAnsi="仿宋_GB2312" w:eastAsia="仿宋_GB2312" w:cs="仿宋"/>
                <w:sz w:val="21"/>
                <w:szCs w:val="21"/>
              </w:rPr>
              <w:fldChar w:fldCharType="end"/>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国家税务总局</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fldChar w:fldCharType="begin"/>
            </w:r>
            <w:r>
              <w:instrText xml:space="preserve"> HYPERLINK "http://www.chinatax.gov.cn" </w:instrText>
            </w:r>
            <w:r>
              <w:fldChar w:fldCharType="separate"/>
            </w:r>
            <w:r>
              <w:rPr>
                <w:rFonts w:ascii="仿宋_GB2312" w:hAnsi="仿宋_GB2312" w:eastAsia="仿宋_GB2312" w:cs="仿宋"/>
                <w:sz w:val="21"/>
                <w:szCs w:val="21"/>
              </w:rPr>
              <w:t>http://www.chinatax.gov.cn</w:t>
            </w:r>
            <w:r>
              <w:rPr>
                <w:rFonts w:ascii="仿宋_GB2312" w:hAnsi="仿宋_GB2312" w:eastAsia="仿宋_GB2312" w:cs="仿宋"/>
                <w:sz w:val="21"/>
                <w:szCs w:val="21"/>
              </w:rPr>
              <w:fldChar w:fldCharType="end"/>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等渠道查询递交了响应文件的供应商的信用记录并保存信用记录结果网页截图。截至响应文件提交截止日，列入政府采购严重违法失信行为记录名单、失信被执行人名单、</w:t>
            </w:r>
            <w:r>
              <w:rPr>
                <w:rFonts w:ascii="仿宋_GB2312" w:hAnsi="仿宋_GB2312" w:eastAsia="仿宋_GB2312" w:cs="仿宋"/>
                <w:sz w:val="21"/>
                <w:szCs w:val="21"/>
                <w:lang w:val="zh-CN"/>
              </w:rPr>
              <w:t>重大税收违法失信案件</w:t>
            </w:r>
            <w:r>
              <w:rPr>
                <w:rFonts w:hint="eastAsia" w:ascii="仿宋_GB2312" w:hAnsi="仿宋_GB2312" w:eastAsia="仿宋_GB2312" w:cs="仿宋"/>
                <w:sz w:val="21"/>
                <w:szCs w:val="21"/>
                <w:lang w:val="zh-CN"/>
              </w:rPr>
              <w:t>当事人名单的供应商，不得参与本项目政府采购活动。以联合体形式参加本项目采购活动，联合体成员被列入政府采购严重违法失信行为记录名单、失信被执行人名单、</w:t>
            </w:r>
            <w:r>
              <w:rPr>
                <w:rFonts w:ascii="仿宋_GB2312" w:hAnsi="仿宋_GB2312" w:eastAsia="仿宋_GB2312" w:cs="仿宋"/>
                <w:sz w:val="21"/>
                <w:szCs w:val="21"/>
                <w:lang w:val="zh-CN"/>
              </w:rPr>
              <w:t>重大税收违法失信案件</w:t>
            </w:r>
            <w:r>
              <w:rPr>
                <w:rFonts w:hint="eastAsia" w:ascii="仿宋_GB2312" w:hAnsi="仿宋_GB2312" w:eastAsia="仿宋_GB2312" w:cs="仿宋"/>
                <w:sz w:val="21"/>
                <w:szCs w:val="21"/>
                <w:lang w:val="zh-CN"/>
              </w:rPr>
              <w:t>当事人名单存在不良信用记录的，视同联合体存在前述情形，不得参与本项目政府采购活动。</w:t>
            </w:r>
          </w:p>
        </w:tc>
      </w:tr>
    </w:tbl>
    <w:p w14:paraId="0BEDB5DC">
      <w:pPr>
        <w:pStyle w:val="26"/>
        <w:rPr>
          <w:rFonts w:hint="default" w:ascii="仿宋_GB2312" w:hAnsi="仿宋_GB2312" w:eastAsia="仿宋_GB2312"/>
        </w:rPr>
      </w:pPr>
    </w:p>
    <w:p w14:paraId="510CC8E6">
      <w:pPr>
        <w:pStyle w:val="26"/>
        <w:rPr>
          <w:rFonts w:hint="default" w:ascii="仿宋_GB2312" w:hAnsi="仿宋_GB2312" w:eastAsia="仿宋_GB2312"/>
        </w:rPr>
      </w:pPr>
    </w:p>
    <w:p w14:paraId="7C00E2A9">
      <w:pPr>
        <w:pStyle w:val="3"/>
        <w:keepNext w:val="0"/>
        <w:keepLines w:val="0"/>
        <w:spacing w:before="0" w:after="0" w:line="360" w:lineRule="auto"/>
        <w:jc w:val="center"/>
        <w:rPr>
          <w:rFonts w:ascii="仿宋_GB2312" w:hAnsi="仿宋_GB2312" w:eastAsia="仿宋_GB2312" w:cs="Times New Roman"/>
        </w:rPr>
      </w:pPr>
      <w:bookmarkStart w:id="16" w:name="_Toc183682346"/>
      <w:bookmarkStart w:id="17" w:name="_Toc77400779"/>
      <w:bookmarkStart w:id="18" w:name="_Toc217446038"/>
      <w:bookmarkStart w:id="19" w:name="_Toc183582209"/>
      <w:bookmarkStart w:id="20" w:name="_Toc89075875"/>
    </w:p>
    <w:p w14:paraId="6BC7FFA1">
      <w:pPr>
        <w:pStyle w:val="3"/>
        <w:keepNext w:val="0"/>
        <w:keepLines w:val="0"/>
        <w:spacing w:before="0" w:after="0" w:line="360" w:lineRule="auto"/>
        <w:jc w:val="center"/>
        <w:rPr>
          <w:rFonts w:ascii="仿宋_GB2312" w:hAnsi="仿宋_GB2312" w:eastAsia="仿宋_GB2312" w:cs="Times New Roman"/>
        </w:rPr>
      </w:pPr>
      <w:r>
        <w:rPr>
          <w:rFonts w:hint="eastAsia" w:ascii="仿宋_GB2312" w:hAnsi="仿宋_GB2312" w:eastAsia="仿宋_GB2312" w:cs="仿宋"/>
        </w:rPr>
        <w:t>二、谈判文件</w:t>
      </w:r>
      <w:bookmarkEnd w:id="16"/>
      <w:bookmarkEnd w:id="17"/>
      <w:bookmarkEnd w:id="18"/>
      <w:bookmarkEnd w:id="19"/>
      <w:bookmarkEnd w:id="20"/>
    </w:p>
    <w:p w14:paraId="27EA4688">
      <w:pPr>
        <w:pStyle w:val="4"/>
        <w:keepNext w:val="0"/>
        <w:keepLines w:val="0"/>
        <w:spacing w:before="0" w:after="0" w:line="360" w:lineRule="auto"/>
        <w:ind w:firstLine="482" w:firstLineChars="200"/>
        <w:rPr>
          <w:rFonts w:ascii="仿宋_GB2312" w:hAnsi="仿宋_GB2312" w:eastAsia="仿宋_GB2312"/>
          <w:sz w:val="24"/>
          <w:szCs w:val="24"/>
        </w:rPr>
      </w:pPr>
      <w:bookmarkStart w:id="21" w:name="PO_默认文件内容_25"/>
      <w:r>
        <w:rPr>
          <w:rFonts w:hint="eastAsia" w:ascii="仿宋_GB2312" w:hAnsi="仿宋_GB2312" w:eastAsia="仿宋_GB2312" w:cs="仿宋"/>
          <w:sz w:val="24"/>
          <w:szCs w:val="24"/>
        </w:rPr>
        <w:t>1</w:t>
      </w:r>
      <w:r>
        <w:rPr>
          <w:rFonts w:ascii="仿宋_GB2312" w:hAnsi="仿宋_GB2312" w:eastAsia="仿宋_GB2312" w:cs="仿宋"/>
          <w:sz w:val="24"/>
          <w:szCs w:val="24"/>
        </w:rPr>
        <w:t>.</w:t>
      </w:r>
      <w:r>
        <w:rPr>
          <w:rFonts w:hint="eastAsia" w:ascii="仿宋_GB2312" w:hAnsi="仿宋_GB2312" w:eastAsia="仿宋_GB2312" w:cs="仿宋"/>
          <w:sz w:val="24"/>
          <w:szCs w:val="24"/>
        </w:rPr>
        <w:t>谈判文件的构成</w:t>
      </w:r>
    </w:p>
    <w:p w14:paraId="6B5290EB">
      <w:pPr>
        <w:tabs>
          <w:tab w:val="left" w:pos="720"/>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谈判文件是本次采购活动的基本依据，也是供应商准备响应文件、参加采购活动的依据。谈判文件</w:t>
      </w:r>
      <w:r>
        <w:rPr>
          <w:rFonts w:ascii="仿宋_GB2312" w:hAnsi="仿宋_GB2312" w:eastAsia="仿宋_GB2312" w:cs="仿宋"/>
        </w:rPr>
        <w:t>包括</w:t>
      </w:r>
      <w:r>
        <w:rPr>
          <w:rFonts w:hint="eastAsia" w:ascii="仿宋_GB2312" w:hAnsi="仿宋_GB2312" w:eastAsia="仿宋_GB2312" w:cs="仿宋"/>
        </w:rPr>
        <w:t>谈判</w:t>
      </w:r>
      <w:r>
        <w:rPr>
          <w:rFonts w:ascii="仿宋_GB2312" w:hAnsi="仿宋_GB2312" w:eastAsia="仿宋_GB2312" w:cs="仿宋"/>
        </w:rPr>
        <w:t>邀请</w:t>
      </w:r>
      <w:r>
        <w:rPr>
          <w:rFonts w:hint="eastAsia" w:ascii="仿宋_GB2312" w:hAnsi="仿宋_GB2312" w:eastAsia="仿宋_GB2312" w:cs="仿宋"/>
        </w:rPr>
        <w:t>、</w:t>
      </w:r>
      <w:r>
        <w:rPr>
          <w:rFonts w:ascii="仿宋_GB2312" w:hAnsi="仿宋_GB2312" w:eastAsia="仿宋_GB2312" w:cs="仿宋"/>
        </w:rPr>
        <w:t>采购方式</w:t>
      </w:r>
      <w:r>
        <w:rPr>
          <w:rFonts w:hint="eastAsia" w:ascii="仿宋_GB2312" w:hAnsi="仿宋_GB2312" w:eastAsia="仿宋_GB2312" w:cs="仿宋"/>
        </w:rPr>
        <w:t>、最高限价、</w:t>
      </w:r>
      <w:r>
        <w:rPr>
          <w:rFonts w:ascii="仿宋_GB2312" w:hAnsi="仿宋_GB2312" w:eastAsia="仿宋_GB2312" w:cs="仿宋"/>
        </w:rPr>
        <w:t>采购需求</w:t>
      </w:r>
      <w:r>
        <w:rPr>
          <w:rFonts w:hint="eastAsia" w:ascii="仿宋_GB2312" w:hAnsi="仿宋_GB2312" w:eastAsia="仿宋_GB2312" w:cs="仿宋"/>
        </w:rPr>
        <w:t>、</w:t>
      </w:r>
      <w:r>
        <w:rPr>
          <w:rFonts w:ascii="仿宋_GB2312" w:hAnsi="仿宋_GB2312" w:eastAsia="仿宋_GB2312" w:cs="仿宋"/>
        </w:rPr>
        <w:t>评审程序</w:t>
      </w:r>
      <w:r>
        <w:rPr>
          <w:rFonts w:hint="eastAsia" w:ascii="仿宋_GB2312" w:hAnsi="仿宋_GB2312" w:eastAsia="仿宋_GB2312" w:cs="仿宋"/>
        </w:rPr>
        <w:t>、</w:t>
      </w:r>
      <w:r>
        <w:rPr>
          <w:rFonts w:ascii="仿宋_GB2312" w:hAnsi="仿宋_GB2312" w:eastAsia="仿宋_GB2312" w:cs="仿宋"/>
        </w:rPr>
        <w:t>评审方法</w:t>
      </w:r>
      <w:r>
        <w:rPr>
          <w:rFonts w:hint="eastAsia" w:ascii="仿宋_GB2312" w:hAnsi="仿宋_GB2312" w:eastAsia="仿宋_GB2312" w:cs="仿宋"/>
        </w:rPr>
        <w:t>、</w:t>
      </w:r>
      <w:r>
        <w:rPr>
          <w:rFonts w:ascii="仿宋_GB2312" w:hAnsi="仿宋_GB2312" w:eastAsia="仿宋_GB2312" w:cs="仿宋"/>
        </w:rPr>
        <w:t>评审标准</w:t>
      </w:r>
      <w:r>
        <w:rPr>
          <w:rFonts w:hint="eastAsia" w:ascii="仿宋_GB2312" w:hAnsi="仿宋_GB2312" w:eastAsia="仿宋_GB2312" w:cs="仿宋"/>
        </w:rPr>
        <w:t>、</w:t>
      </w:r>
      <w:r>
        <w:rPr>
          <w:rFonts w:ascii="仿宋_GB2312" w:hAnsi="仿宋_GB2312" w:eastAsia="仿宋_GB2312" w:cs="仿宋"/>
        </w:rPr>
        <w:t>价格构成或者报价要求</w:t>
      </w:r>
      <w:r>
        <w:rPr>
          <w:rFonts w:hint="eastAsia" w:ascii="仿宋_GB2312" w:hAnsi="仿宋_GB2312" w:eastAsia="仿宋_GB2312" w:cs="仿宋"/>
        </w:rPr>
        <w:t>、</w:t>
      </w:r>
      <w:r>
        <w:rPr>
          <w:rFonts w:ascii="仿宋_GB2312" w:hAnsi="仿宋_GB2312" w:eastAsia="仿宋_GB2312" w:cs="仿宋"/>
        </w:rPr>
        <w:t>响应文件编制</w:t>
      </w:r>
      <w:r>
        <w:rPr>
          <w:rFonts w:hint="eastAsia" w:ascii="仿宋_GB2312" w:hAnsi="仿宋_GB2312" w:eastAsia="仿宋_GB2312" w:cs="仿宋"/>
        </w:rPr>
        <w:t>要求、谈判</w:t>
      </w:r>
      <w:r>
        <w:rPr>
          <w:rFonts w:ascii="仿宋_GB2312" w:hAnsi="仿宋_GB2312" w:eastAsia="仿宋_GB2312" w:cs="仿宋"/>
        </w:rPr>
        <w:t>过程中可能实质性变动内容</w:t>
      </w:r>
      <w:r>
        <w:rPr>
          <w:rFonts w:hint="eastAsia" w:ascii="仿宋_GB2312" w:hAnsi="仿宋_GB2312" w:eastAsia="仿宋_GB2312" w:cs="仿宋"/>
        </w:rPr>
        <w:t>、</w:t>
      </w:r>
      <w:r>
        <w:rPr>
          <w:rFonts w:ascii="仿宋_GB2312" w:hAnsi="仿宋_GB2312" w:eastAsia="仿宋_GB2312" w:cs="仿宋"/>
        </w:rPr>
        <w:t>响应文件提交的截止时间</w:t>
      </w:r>
      <w:r>
        <w:rPr>
          <w:rFonts w:hint="eastAsia" w:ascii="仿宋_GB2312" w:hAnsi="仿宋_GB2312" w:eastAsia="仿宋_GB2312" w:cs="仿宋"/>
        </w:rPr>
        <w:t>、</w:t>
      </w:r>
      <w:r>
        <w:rPr>
          <w:rFonts w:ascii="仿宋_GB2312" w:hAnsi="仿宋_GB2312" w:eastAsia="仿宋_GB2312" w:cs="仿宋"/>
        </w:rPr>
        <w:t>开启时间及地点以及合同草案条款等</w:t>
      </w:r>
      <w:r>
        <w:rPr>
          <w:rFonts w:hint="eastAsia" w:ascii="仿宋_GB2312" w:hAnsi="仿宋_GB2312" w:eastAsia="仿宋_GB2312" w:cs="仿宋"/>
        </w:rPr>
        <w:t>。</w:t>
      </w:r>
      <w:bookmarkStart w:id="22" w:name="_Toc183582211"/>
      <w:bookmarkStart w:id="23" w:name="_Toc183682348"/>
      <w:bookmarkStart w:id="24" w:name="_Toc217446040"/>
    </w:p>
    <w:p w14:paraId="00583977">
      <w:pPr>
        <w:pStyle w:val="4"/>
        <w:keepNext w:val="0"/>
        <w:keepLines w:val="0"/>
        <w:spacing w:before="0" w:after="0" w:line="360" w:lineRule="auto"/>
        <w:ind w:firstLine="482" w:firstLineChars="200"/>
        <w:rPr>
          <w:rFonts w:ascii="仿宋_GB2312" w:hAnsi="仿宋_GB2312" w:eastAsia="仿宋_GB2312"/>
          <w:sz w:val="24"/>
          <w:szCs w:val="24"/>
        </w:rPr>
      </w:pPr>
      <w:r>
        <w:rPr>
          <w:rFonts w:hint="eastAsia" w:ascii="仿宋_GB2312" w:hAnsi="仿宋_GB2312" w:eastAsia="仿宋_GB2312" w:cs="仿宋"/>
          <w:sz w:val="24"/>
          <w:szCs w:val="24"/>
        </w:rPr>
        <w:t>2</w:t>
      </w:r>
      <w:r>
        <w:rPr>
          <w:rFonts w:ascii="仿宋_GB2312" w:hAnsi="仿宋_GB2312" w:eastAsia="仿宋_GB2312" w:cs="仿宋"/>
          <w:sz w:val="24"/>
          <w:szCs w:val="24"/>
        </w:rPr>
        <w:t>.</w:t>
      </w:r>
      <w:r>
        <w:rPr>
          <w:rFonts w:hint="eastAsia" w:ascii="仿宋_GB2312" w:hAnsi="仿宋_GB2312" w:eastAsia="仿宋_GB2312" w:cs="仿宋"/>
          <w:sz w:val="24"/>
          <w:szCs w:val="24"/>
        </w:rPr>
        <w:t>谈判文件的澄清</w:t>
      </w:r>
      <w:bookmarkEnd w:id="22"/>
      <w:bookmarkEnd w:id="23"/>
      <w:r>
        <w:rPr>
          <w:rFonts w:hint="eastAsia" w:ascii="仿宋_GB2312" w:hAnsi="仿宋_GB2312" w:eastAsia="仿宋_GB2312" w:cs="仿宋"/>
          <w:sz w:val="24"/>
          <w:szCs w:val="24"/>
        </w:rPr>
        <w:t>和修改</w:t>
      </w:r>
      <w:bookmarkEnd w:id="24"/>
    </w:p>
    <w:p w14:paraId="31B3594D">
      <w:pPr>
        <w:tabs>
          <w:tab w:val="left" w:pos="720"/>
        </w:tabs>
        <w:spacing w:line="360" w:lineRule="auto"/>
        <w:ind w:firstLine="480" w:firstLineChars="200"/>
        <w:rPr>
          <w:rFonts w:ascii="仿宋_GB2312" w:hAnsi="仿宋_GB2312" w:eastAsia="仿宋_GB2312"/>
        </w:rPr>
      </w:pPr>
      <w:r>
        <w:rPr>
          <w:rFonts w:hint="eastAsia" w:ascii="仿宋_GB2312" w:hAnsi="仿宋_GB2312" w:eastAsia="仿宋_GB2312" w:cs="仿宋"/>
        </w:rPr>
        <w:t>2</w:t>
      </w:r>
      <w:r>
        <w:rPr>
          <w:rFonts w:ascii="仿宋_GB2312" w:hAnsi="仿宋_GB2312" w:eastAsia="仿宋_GB2312" w:cs="仿宋"/>
        </w:rPr>
        <w:t>.1</w:t>
      </w:r>
      <w:r>
        <w:rPr>
          <w:rFonts w:hint="eastAsia" w:ascii="仿宋_GB2312" w:hAnsi="仿宋_GB2312" w:eastAsia="仿宋_GB2312" w:cs="仿宋"/>
        </w:rPr>
        <w:t>在提交响应文件截止时间前，采购人可以对谈判文件进行澄清或者修改。</w:t>
      </w:r>
    </w:p>
    <w:p w14:paraId="59564CD5">
      <w:pPr>
        <w:tabs>
          <w:tab w:val="left" w:pos="720"/>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w:t>
      </w:r>
      <w:r>
        <w:rPr>
          <w:rFonts w:ascii="仿宋_GB2312" w:hAnsi="仿宋_GB2312" w:eastAsia="仿宋_GB2312" w:cs="仿宋"/>
          <w:color w:val="000000" w:themeColor="text1"/>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采购人对已发出的谈判文件进行澄清或者修改，应当</w:t>
      </w:r>
      <w:r>
        <w:rPr>
          <w:rFonts w:ascii="仿宋_GB2312" w:hAnsi="仿宋_GB2312" w:eastAsia="仿宋_GB2312" w:cs="仿宋"/>
          <w:color w:val="000000" w:themeColor="text1"/>
          <w14:textFill>
            <w14:solidFill>
              <w14:schemeClr w14:val="tx1"/>
            </w14:solidFill>
          </w14:textFill>
        </w:rPr>
        <w:t>通过</w:t>
      </w:r>
      <w:r>
        <w:rPr>
          <w:rFonts w:hint="eastAsia" w:ascii="仿宋_GB2312" w:hAnsi="仿宋_GB2312" w:eastAsia="仿宋_GB2312" w:cs="仿宋"/>
          <w:color w:val="000000" w:themeColor="text1"/>
          <w14:textFill>
            <w14:solidFill>
              <w14:schemeClr w14:val="tx1"/>
            </w14:solidFill>
          </w14:textFill>
        </w:rPr>
        <w:t>以书面形式将澄清或者修改的内容通知所有</w:t>
      </w:r>
      <w:r>
        <w:rPr>
          <w:rFonts w:ascii="仿宋_GB2312" w:hAnsi="仿宋_GB2312" w:eastAsia="仿宋_GB2312" w:cs="仿宋"/>
          <w:color w:val="000000" w:themeColor="text1"/>
          <w14:textFill>
            <w14:solidFill>
              <w14:schemeClr w14:val="tx1"/>
            </w14:solidFill>
          </w14:textFill>
        </w:rPr>
        <w:t>成功获取</w:t>
      </w:r>
      <w:r>
        <w:rPr>
          <w:rFonts w:hint="eastAsia" w:ascii="仿宋_GB2312" w:hAnsi="仿宋_GB2312" w:eastAsia="仿宋_GB2312" w:cs="仿宋"/>
          <w:color w:val="000000" w:themeColor="text1"/>
          <w14:textFill>
            <w14:solidFill>
              <w14:schemeClr w14:val="tx1"/>
            </w14:solidFill>
          </w14:textFill>
        </w:rPr>
        <w:t>谈判文件的供应商，同时在</w:t>
      </w:r>
      <w:r>
        <w:rPr>
          <w:rFonts w:hint="eastAsia" w:ascii="仿宋_GB2312" w:hAnsi="仿宋_GB2312" w:eastAsia="仿宋_GB2312" w:cs="仿宋"/>
          <w:kern w:val="0"/>
          <w:sz w:val="24"/>
          <w:szCs w:val="24"/>
          <w:lang w:val="en-US" w:eastAsia="zh-CN" w:bidi="ar-SA"/>
        </w:rPr>
        <w:t>巴中市国有资产监督管理委员会网站（</w:t>
      </w:r>
      <w:r>
        <w:rPr>
          <w:rFonts w:hint="eastAsia" w:ascii="仿宋_GB2312" w:hAnsi="仿宋_GB2312" w:eastAsia="仿宋_GB2312" w:cs="仿宋"/>
          <w:kern w:val="0"/>
          <w:sz w:val="24"/>
          <w:szCs w:val="24"/>
          <w:lang w:val="en-US" w:eastAsia="zh-CN" w:bidi="ar-SA"/>
        </w:rPr>
        <w:fldChar w:fldCharType="begin"/>
      </w:r>
      <w:r>
        <w:rPr>
          <w:rFonts w:hint="eastAsia" w:ascii="仿宋_GB2312" w:hAnsi="仿宋_GB2312" w:eastAsia="仿宋_GB2312" w:cs="仿宋"/>
          <w:kern w:val="0"/>
          <w:sz w:val="24"/>
          <w:szCs w:val="24"/>
          <w:lang w:val="en-US" w:eastAsia="zh-CN" w:bidi="ar-SA"/>
        </w:rPr>
        <w:instrText xml:space="preserve"> HYPERLINK "http://gzw.cnbz.gov.cn/" </w:instrText>
      </w:r>
      <w:r>
        <w:rPr>
          <w:rFonts w:hint="eastAsia" w:ascii="仿宋_GB2312" w:hAnsi="仿宋_GB2312" w:eastAsia="仿宋_GB2312" w:cs="仿宋"/>
          <w:kern w:val="0"/>
          <w:sz w:val="24"/>
          <w:szCs w:val="24"/>
          <w:lang w:val="en-US" w:eastAsia="zh-CN" w:bidi="ar-SA"/>
        </w:rPr>
        <w:fldChar w:fldCharType="separate"/>
      </w:r>
      <w:r>
        <w:rPr>
          <w:rFonts w:hint="eastAsia" w:ascii="仿宋_GB2312" w:hAnsi="仿宋_GB2312" w:eastAsia="仿宋_GB2312" w:cs="仿宋"/>
          <w:kern w:val="0"/>
          <w:sz w:val="24"/>
          <w:szCs w:val="24"/>
          <w:lang w:val="en-US" w:eastAsia="zh-CN" w:bidi="ar-SA"/>
        </w:rPr>
        <w:t>http://gzw.cnbz.gov.cn</w:t>
      </w:r>
      <w:r>
        <w:rPr>
          <w:rFonts w:hint="eastAsia" w:ascii="仿宋_GB2312" w:hAnsi="仿宋_GB2312" w:eastAsia="仿宋_GB2312" w:cs="仿宋"/>
          <w:kern w:val="0"/>
          <w:sz w:val="24"/>
          <w:szCs w:val="24"/>
          <w:lang w:val="en-US" w:eastAsia="zh-CN" w:bidi="ar-SA"/>
        </w:rPr>
        <w:fldChar w:fldCharType="end"/>
      </w:r>
      <w:r>
        <w:rPr>
          <w:rFonts w:hint="eastAsia" w:ascii="仿宋_GB2312" w:hAnsi="仿宋_GB2312" w:eastAsia="仿宋_GB2312" w:cs="仿宋"/>
          <w:kern w:val="0"/>
          <w:sz w:val="24"/>
          <w:szCs w:val="24"/>
          <w:lang w:val="en-US" w:eastAsia="zh-CN" w:bidi="ar-SA"/>
        </w:rPr>
        <w:t>）或巴中市产业发展集团有限公司网站（www.bzntjt.cn）</w:t>
      </w:r>
      <w:r>
        <w:rPr>
          <w:rFonts w:hint="eastAsia" w:ascii="仿宋_GB2312" w:hAnsi="仿宋_GB2312" w:eastAsia="仿宋_GB2312" w:cs="仿宋"/>
          <w:color w:val="000000" w:themeColor="text1"/>
          <w14:textFill>
            <w14:solidFill>
              <w14:schemeClr w14:val="tx1"/>
            </w14:solidFill>
          </w14:textFill>
        </w:rPr>
        <w:t>上发布更正公告。该澄清或者修改的内容为谈判文件的组成部分，澄清或者修改的内容可能影响响应文件编制的，采购人发布澄清公告并以书面形式通知</w:t>
      </w:r>
      <w:r>
        <w:rPr>
          <w:rFonts w:ascii="仿宋_GB2312" w:hAnsi="仿宋_GB2312" w:eastAsia="仿宋_GB2312" w:cs="仿宋"/>
          <w:color w:val="000000" w:themeColor="text1"/>
          <w14:textFill>
            <w14:solidFill>
              <w14:schemeClr w14:val="tx1"/>
            </w14:solidFill>
          </w14:textFill>
        </w:rPr>
        <w:t>成功获取</w:t>
      </w:r>
      <w:r>
        <w:rPr>
          <w:rFonts w:hint="eastAsia" w:ascii="仿宋_GB2312" w:hAnsi="仿宋_GB2312" w:eastAsia="仿宋_GB2312" w:cs="仿宋"/>
          <w:color w:val="000000" w:themeColor="text1"/>
          <w14:textFill>
            <w14:solidFill>
              <w14:schemeClr w14:val="tx1"/>
            </w14:solidFill>
          </w14:textFill>
        </w:rPr>
        <w:t>谈判文件的供应商的时间，应当在提交首次响应文件截止之日3个工作日前；不足上述时间的，应当顺延提交响应文件的截止时间。</w:t>
      </w:r>
    </w:p>
    <w:p w14:paraId="7A52B77E">
      <w:pPr>
        <w:tabs>
          <w:tab w:val="left" w:pos="7665"/>
        </w:tabs>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color w:val="000000" w:themeColor="text1"/>
          <w14:textFill>
            <w14:solidFill>
              <w14:schemeClr w14:val="tx1"/>
            </w14:solidFill>
          </w14:textFill>
        </w:rPr>
        <w:t>2</w:t>
      </w: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供应商应于提交响应文件截止时间前，及时</w:t>
      </w:r>
      <w:r>
        <w:rPr>
          <w:rFonts w:ascii="仿宋_GB2312" w:hAnsi="仿宋_GB2312" w:eastAsia="仿宋_GB2312" w:cs="仿宋"/>
          <w:color w:val="000000" w:themeColor="text1"/>
          <w14:textFill>
            <w14:solidFill>
              <w14:schemeClr w14:val="tx1"/>
            </w14:solidFill>
          </w14:textFill>
        </w:rPr>
        <w:t>关注</w:t>
      </w:r>
      <w:r>
        <w:rPr>
          <w:rFonts w:hint="eastAsia" w:ascii="仿宋_GB2312" w:hAnsi="仿宋_GB2312" w:eastAsia="仿宋_GB2312" w:cs="仿宋"/>
          <w:kern w:val="0"/>
          <w:sz w:val="24"/>
          <w:szCs w:val="24"/>
          <w:lang w:val="en-US" w:eastAsia="zh-CN" w:bidi="ar-SA"/>
        </w:rPr>
        <w:t>巴中市国有资产监督管理委员会网站（</w:t>
      </w:r>
      <w:r>
        <w:rPr>
          <w:rFonts w:hint="eastAsia" w:ascii="仿宋_GB2312" w:hAnsi="仿宋_GB2312" w:eastAsia="仿宋_GB2312" w:cs="仿宋"/>
          <w:kern w:val="0"/>
          <w:sz w:val="24"/>
          <w:szCs w:val="24"/>
          <w:lang w:val="en-US" w:eastAsia="zh-CN" w:bidi="ar-SA"/>
        </w:rPr>
        <w:fldChar w:fldCharType="begin"/>
      </w:r>
      <w:r>
        <w:rPr>
          <w:rFonts w:hint="eastAsia" w:ascii="仿宋_GB2312" w:hAnsi="仿宋_GB2312" w:eastAsia="仿宋_GB2312" w:cs="仿宋"/>
          <w:kern w:val="0"/>
          <w:sz w:val="24"/>
          <w:szCs w:val="24"/>
          <w:lang w:val="en-US" w:eastAsia="zh-CN" w:bidi="ar-SA"/>
        </w:rPr>
        <w:instrText xml:space="preserve"> HYPERLINK "http://gzw.cnbz.gov.cn/" </w:instrText>
      </w:r>
      <w:r>
        <w:rPr>
          <w:rFonts w:hint="eastAsia" w:ascii="仿宋_GB2312" w:hAnsi="仿宋_GB2312" w:eastAsia="仿宋_GB2312" w:cs="仿宋"/>
          <w:kern w:val="0"/>
          <w:sz w:val="24"/>
          <w:szCs w:val="24"/>
          <w:lang w:val="en-US" w:eastAsia="zh-CN" w:bidi="ar-SA"/>
        </w:rPr>
        <w:fldChar w:fldCharType="separate"/>
      </w:r>
      <w:r>
        <w:rPr>
          <w:rFonts w:hint="eastAsia" w:ascii="仿宋_GB2312" w:hAnsi="仿宋_GB2312" w:eastAsia="仿宋_GB2312" w:cs="仿宋"/>
          <w:kern w:val="0"/>
          <w:sz w:val="24"/>
          <w:szCs w:val="24"/>
          <w:lang w:val="en-US" w:eastAsia="zh-CN" w:bidi="ar-SA"/>
        </w:rPr>
        <w:t>http://gzw.cnbz.gov.cn</w:t>
      </w:r>
      <w:r>
        <w:rPr>
          <w:rFonts w:hint="eastAsia" w:ascii="仿宋_GB2312" w:hAnsi="仿宋_GB2312" w:eastAsia="仿宋_GB2312" w:cs="仿宋"/>
          <w:kern w:val="0"/>
          <w:sz w:val="24"/>
          <w:szCs w:val="24"/>
          <w:lang w:val="en-US" w:eastAsia="zh-CN" w:bidi="ar-SA"/>
        </w:rPr>
        <w:fldChar w:fldCharType="end"/>
      </w:r>
      <w:r>
        <w:rPr>
          <w:rFonts w:hint="eastAsia" w:ascii="仿宋_GB2312" w:hAnsi="仿宋_GB2312" w:eastAsia="仿宋_GB2312" w:cs="仿宋"/>
          <w:kern w:val="0"/>
          <w:sz w:val="24"/>
          <w:szCs w:val="24"/>
          <w:lang w:val="en-US" w:eastAsia="zh-CN" w:bidi="ar-SA"/>
        </w:rPr>
        <w:t>）或巴中市产业发展集团有限公司网站（www.bzntjt.cn）</w:t>
      </w:r>
      <w:r>
        <w:rPr>
          <w:rFonts w:ascii="仿宋_GB2312" w:hAnsi="仿宋_GB2312" w:eastAsia="仿宋_GB2312" w:cs="仿宋"/>
          <w:color w:val="000000" w:themeColor="text1"/>
          <w14:textFill>
            <w14:solidFill>
              <w14:schemeClr w14:val="tx1"/>
            </w14:solidFill>
          </w14:textFill>
        </w:rPr>
        <w:t>发布的</w:t>
      </w:r>
      <w:r>
        <w:rPr>
          <w:rFonts w:hint="eastAsia" w:ascii="仿宋_GB2312" w:hAnsi="仿宋_GB2312" w:eastAsia="仿宋_GB2312" w:cs="仿宋"/>
          <w:color w:val="000000" w:themeColor="text1"/>
          <w14:textFill>
            <w14:solidFill>
              <w14:schemeClr w14:val="tx1"/>
            </w14:solidFill>
          </w14:textFill>
        </w:rPr>
        <w:t>本项目更正公告，以保证对谈判文件做出正确的响应。</w:t>
      </w:r>
      <w:r>
        <w:rPr>
          <w:rFonts w:hint="eastAsia" w:ascii="仿宋_GB2312" w:hAnsi="仿宋_GB2312" w:eastAsia="仿宋_GB2312" w:cs="仿宋"/>
        </w:rPr>
        <w:t>供应商未及时关注</w:t>
      </w:r>
      <w:r>
        <w:rPr>
          <w:rFonts w:ascii="仿宋_GB2312" w:hAnsi="仿宋_GB2312" w:eastAsia="仿宋_GB2312" w:cs="仿宋"/>
        </w:rPr>
        <w:t>相关信息或者</w:t>
      </w:r>
      <w:r>
        <w:rPr>
          <w:rFonts w:hint="eastAsia" w:ascii="仿宋_GB2312" w:hAnsi="仿宋_GB2312" w:eastAsia="仿宋_GB2312" w:cs="仿宋"/>
        </w:rPr>
        <w:t>更正公告所造成的不利后果，由供应商自行</w:t>
      </w:r>
      <w:r>
        <w:rPr>
          <w:rFonts w:ascii="仿宋_GB2312" w:hAnsi="仿宋_GB2312" w:eastAsia="仿宋_GB2312" w:cs="仿宋"/>
        </w:rPr>
        <w:t>承担</w:t>
      </w:r>
      <w:r>
        <w:rPr>
          <w:rFonts w:hint="eastAsia" w:ascii="仿宋_GB2312" w:hAnsi="仿宋_GB2312" w:eastAsia="仿宋_GB2312" w:cs="仿宋"/>
        </w:rPr>
        <w:t>。</w:t>
      </w:r>
      <w:bookmarkEnd w:id="21"/>
      <w:bookmarkStart w:id="25" w:name="_Toc77400780"/>
      <w:bookmarkStart w:id="26" w:name="_Toc89075876"/>
      <w:bookmarkStart w:id="27" w:name="_Toc217446042"/>
      <w:bookmarkStart w:id="28" w:name="_Toc183582214"/>
      <w:bookmarkStart w:id="29" w:name="_Toc183682351"/>
      <w:bookmarkStart w:id="30" w:name="PO_默认文件内容_26"/>
    </w:p>
    <w:p w14:paraId="0AAE6CDB">
      <w:pPr>
        <w:pStyle w:val="3"/>
        <w:keepNext w:val="0"/>
        <w:keepLines w:val="0"/>
        <w:spacing w:before="0" w:after="0" w:line="360" w:lineRule="auto"/>
        <w:jc w:val="center"/>
        <w:rPr>
          <w:rFonts w:ascii="仿宋_GB2312" w:hAnsi="仿宋_GB2312" w:eastAsia="仿宋_GB2312" w:cs="Times New Roman"/>
        </w:rPr>
      </w:pPr>
      <w:r>
        <w:rPr>
          <w:rFonts w:hint="eastAsia" w:ascii="仿宋_GB2312" w:hAnsi="仿宋_GB2312" w:eastAsia="仿宋_GB2312" w:cs="仿宋"/>
        </w:rPr>
        <w:t>三、响应文件</w:t>
      </w:r>
      <w:bookmarkEnd w:id="25"/>
      <w:bookmarkEnd w:id="26"/>
      <w:bookmarkEnd w:id="27"/>
      <w:bookmarkEnd w:id="28"/>
      <w:bookmarkEnd w:id="29"/>
      <w:bookmarkStart w:id="31" w:name="_Toc183682352"/>
      <w:bookmarkStart w:id="32" w:name="_Toc217446043"/>
      <w:bookmarkStart w:id="33" w:name="_Toc183582215"/>
    </w:p>
    <w:p w14:paraId="6F0076A9">
      <w:pPr>
        <w:pStyle w:val="4"/>
        <w:keepNext w:val="0"/>
        <w:keepLines w:val="0"/>
        <w:spacing w:before="0" w:after="0" w:line="360" w:lineRule="auto"/>
        <w:ind w:firstLine="482" w:firstLineChars="200"/>
        <w:rPr>
          <w:rFonts w:ascii="仿宋_GB2312" w:hAnsi="仿宋_GB2312" w:eastAsia="仿宋_GB2312"/>
          <w:sz w:val="24"/>
          <w:szCs w:val="24"/>
        </w:rPr>
      </w:pPr>
      <w:r>
        <w:rPr>
          <w:rFonts w:ascii="仿宋_GB2312" w:hAnsi="仿宋_GB2312" w:eastAsia="仿宋_GB2312" w:cs="仿宋"/>
          <w:sz w:val="24"/>
          <w:szCs w:val="24"/>
        </w:rPr>
        <w:t>1.</w:t>
      </w:r>
      <w:r>
        <w:rPr>
          <w:rFonts w:hint="eastAsia" w:ascii="仿宋_GB2312" w:hAnsi="仿宋_GB2312" w:eastAsia="仿宋_GB2312" w:cs="仿宋"/>
          <w:sz w:val="24"/>
          <w:szCs w:val="24"/>
        </w:rPr>
        <w:t>响应文件的语言</w:t>
      </w:r>
      <w:bookmarkEnd w:id="31"/>
      <w:bookmarkEnd w:id="32"/>
      <w:bookmarkEnd w:id="33"/>
      <w:r>
        <w:rPr>
          <w:rFonts w:hint="eastAsia" w:ascii="仿宋_GB2312" w:hAnsi="仿宋_GB2312" w:eastAsia="仿宋_GB2312" w:cs="仿宋"/>
          <w:sz w:val="24"/>
          <w:szCs w:val="24"/>
        </w:rPr>
        <w:t>（实质性要求）</w:t>
      </w:r>
    </w:p>
    <w:p w14:paraId="32D342A6">
      <w:pPr>
        <w:tabs>
          <w:tab w:val="left" w:pos="1134"/>
        </w:tabs>
        <w:spacing w:line="360" w:lineRule="auto"/>
        <w:ind w:firstLine="480" w:firstLineChars="200"/>
        <w:rPr>
          <w:rFonts w:ascii="仿宋_GB2312" w:hAnsi="仿宋_GB2312" w:eastAsia="仿宋_GB2312"/>
        </w:rPr>
      </w:pPr>
      <w:r>
        <w:rPr>
          <w:rFonts w:ascii="仿宋_GB2312" w:hAnsi="仿宋_GB2312" w:eastAsia="仿宋_GB2312" w:cs="仿宋"/>
        </w:rPr>
        <w:t>1.1</w:t>
      </w:r>
      <w:r>
        <w:rPr>
          <w:rFonts w:hint="eastAsia" w:ascii="仿宋_GB2312" w:hAnsi="仿宋_GB2312" w:eastAsia="仿宋_GB2312" w:cs="仿宋"/>
        </w:rPr>
        <w:t>供应商提交的响应文件以及供应商与谈判小组在评审过程中的所有来往书面文件均须使用中文。响应文件中如附有外文资料，主要部分要对应翻译成中文并附在相关外文资料后面。</w:t>
      </w:r>
    </w:p>
    <w:p w14:paraId="174F0D96">
      <w:pPr>
        <w:tabs>
          <w:tab w:val="left" w:pos="1134"/>
        </w:tabs>
        <w:spacing w:line="360" w:lineRule="auto"/>
        <w:ind w:firstLine="480" w:firstLineChars="200"/>
        <w:rPr>
          <w:rFonts w:ascii="仿宋_GB2312" w:hAnsi="仿宋_GB2312" w:eastAsia="仿宋_GB2312"/>
        </w:rPr>
      </w:pPr>
      <w:r>
        <w:rPr>
          <w:rFonts w:ascii="仿宋_GB2312" w:hAnsi="仿宋_GB2312" w:eastAsia="仿宋_GB2312" w:cs="仿宋"/>
        </w:rPr>
        <w:t xml:space="preserve">1.2 </w:t>
      </w:r>
      <w:r>
        <w:rPr>
          <w:rFonts w:hint="eastAsia" w:ascii="仿宋_GB2312" w:hAnsi="仿宋_GB2312" w:eastAsia="仿宋_GB2312" w:cs="仿宋"/>
        </w:rPr>
        <w:t>翻译的中文资料与外文资料如果出现差异和矛盾时，以中文为准。涉嫌提供虚假材料的按照相关法律法规处理。</w:t>
      </w:r>
    </w:p>
    <w:p w14:paraId="10EC0FAC">
      <w:pPr>
        <w:spacing w:line="360" w:lineRule="auto"/>
        <w:ind w:firstLine="480" w:firstLineChars="200"/>
        <w:rPr>
          <w:rFonts w:ascii="仿宋_GB2312" w:hAnsi="仿宋_GB2312" w:eastAsia="仿宋_GB2312" w:cs="仿宋"/>
        </w:rPr>
      </w:pPr>
      <w:r>
        <w:rPr>
          <w:rFonts w:ascii="仿宋_GB2312" w:hAnsi="仿宋_GB2312" w:eastAsia="仿宋_GB2312" w:cs="仿宋"/>
        </w:rPr>
        <w:t xml:space="preserve">1.3 </w:t>
      </w:r>
      <w:r>
        <w:rPr>
          <w:rFonts w:hint="eastAsia" w:ascii="仿宋_GB2312" w:hAnsi="仿宋_GB2312" w:eastAsia="仿宋_GB2312" w:cs="仿宋"/>
        </w:rPr>
        <w:t>如因未翻译而造成对供应商的不利后果，由供应商承担。</w:t>
      </w:r>
    </w:p>
    <w:p w14:paraId="64181B3E">
      <w:pPr>
        <w:spacing w:line="360" w:lineRule="auto"/>
        <w:ind w:firstLine="482" w:firstLineChars="200"/>
        <w:rPr>
          <w:rFonts w:ascii="仿宋_GB2312" w:hAnsi="仿宋_GB2312" w:eastAsia="仿宋_GB2312"/>
          <w:b/>
          <w:bCs/>
        </w:rPr>
      </w:pPr>
      <w:bookmarkStart w:id="34" w:name="_Toc217446045"/>
      <w:r>
        <w:rPr>
          <w:rFonts w:hint="eastAsia" w:ascii="仿宋_GB2312" w:hAnsi="仿宋_GB2312" w:eastAsia="仿宋_GB2312" w:cs="仿宋"/>
          <w:b/>
          <w:bCs/>
        </w:rPr>
        <w:t>2</w:t>
      </w:r>
      <w:r>
        <w:rPr>
          <w:rFonts w:ascii="仿宋_GB2312" w:hAnsi="仿宋_GB2312" w:eastAsia="仿宋_GB2312" w:cs="仿宋"/>
          <w:b/>
          <w:bCs/>
        </w:rPr>
        <w:t>.</w:t>
      </w:r>
      <w:r>
        <w:rPr>
          <w:rFonts w:hint="eastAsia" w:ascii="仿宋_GB2312" w:hAnsi="仿宋_GB2312" w:eastAsia="仿宋_GB2312" w:cs="仿宋"/>
          <w:b/>
          <w:bCs/>
        </w:rPr>
        <w:t>报价（实质性要求）</w:t>
      </w:r>
      <w:bookmarkEnd w:id="34"/>
    </w:p>
    <w:p w14:paraId="26AE1910">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rPr>
        <w:t>2.1供应商应认真核</w:t>
      </w:r>
      <w:r>
        <w:rPr>
          <w:rFonts w:hint="eastAsia" w:ascii="仿宋_GB2312" w:hAnsi="仿宋_GB2312" w:eastAsia="仿宋_GB2312" w:cs="仿宋"/>
          <w:color w:val="000000" w:themeColor="text1"/>
          <w14:textFill>
            <w14:solidFill>
              <w14:schemeClr w14:val="tx1"/>
            </w14:solidFill>
          </w14:textFill>
        </w:rPr>
        <w:t>实本项目的服务内容。</w:t>
      </w:r>
    </w:p>
    <w:p w14:paraId="7E88E46E">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2.2所有报价一律以人民币报价。</w:t>
      </w:r>
    </w:p>
    <w:p w14:paraId="744C43A0">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2.3供应商的报价是其响应本项目要求的全部工作内容的价格体现，包括供应商完成本项目所需的一切费用。</w:t>
      </w:r>
    </w:p>
    <w:p w14:paraId="2E0DE8C4">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应根据采购人提供的竞争性谈判文件，按照供应商实际情况进行投标报价，报价应包括但不限于采购项目服务内容。供应商应充分考虑本项目合同实施期间可能发生的一切费用，合同履行期间不再增加任何费用，并充分考虑市场情况，承担由此而带来的全部风险。</w:t>
      </w:r>
    </w:p>
    <w:p w14:paraId="4A79D85D">
      <w:pPr>
        <w:spacing w:line="360" w:lineRule="auto"/>
        <w:ind w:left="2" w:leftChars="1" w:firstLine="482" w:firstLineChars="200"/>
        <w:rPr>
          <w:rFonts w:ascii="仿宋_GB2312" w:hAnsi="仿宋_GB2312" w:eastAsia="仿宋_GB2312"/>
          <w:b/>
          <w:bCs/>
        </w:rPr>
      </w:pPr>
      <w:r>
        <w:rPr>
          <w:rFonts w:hint="eastAsia" w:ascii="仿宋_GB2312" w:hAnsi="仿宋_GB2312" w:eastAsia="仿宋_GB2312" w:cs="仿宋"/>
          <w:b/>
          <w:bCs/>
        </w:rPr>
        <w:t>3</w:t>
      </w:r>
      <w:r>
        <w:rPr>
          <w:rFonts w:ascii="仿宋_GB2312" w:hAnsi="仿宋_GB2312" w:eastAsia="仿宋_GB2312" w:cs="仿宋"/>
          <w:b/>
          <w:bCs/>
        </w:rPr>
        <w:t>.</w:t>
      </w:r>
      <w:r>
        <w:rPr>
          <w:rFonts w:hint="eastAsia" w:ascii="仿宋_GB2312" w:hAnsi="仿宋_GB2312" w:eastAsia="仿宋_GB2312" w:cs="仿宋"/>
          <w:b/>
          <w:bCs/>
        </w:rPr>
        <w:t>响应文件格式</w:t>
      </w:r>
    </w:p>
    <w:p w14:paraId="068E69AE">
      <w:pPr>
        <w:spacing w:line="360" w:lineRule="auto"/>
        <w:ind w:left="2" w:leftChars="1" w:firstLine="480" w:firstLineChars="200"/>
        <w:rPr>
          <w:rFonts w:ascii="仿宋_GB2312" w:hAnsi="仿宋_GB2312" w:eastAsia="仿宋_GB2312"/>
        </w:rPr>
      </w:pPr>
      <w:r>
        <w:rPr>
          <w:rFonts w:hint="eastAsia" w:ascii="仿宋_GB2312" w:hAnsi="仿宋_GB2312" w:eastAsia="仿宋_GB2312" w:cs="仿宋"/>
        </w:rPr>
        <w:t>3</w:t>
      </w:r>
      <w:r>
        <w:rPr>
          <w:rFonts w:ascii="仿宋_GB2312" w:hAnsi="仿宋_GB2312" w:eastAsia="仿宋_GB2312" w:cs="仿宋"/>
        </w:rPr>
        <w:t xml:space="preserve">.1 </w:t>
      </w:r>
      <w:r>
        <w:rPr>
          <w:rFonts w:hint="eastAsia" w:ascii="仿宋_GB2312" w:hAnsi="仿宋_GB2312" w:eastAsia="仿宋_GB2312" w:cs="仿宋"/>
        </w:rPr>
        <w:t>供应商应执行谈判文件第七章的规定要求。</w:t>
      </w:r>
    </w:p>
    <w:p w14:paraId="4871D45F">
      <w:pPr>
        <w:spacing w:line="360" w:lineRule="auto"/>
        <w:ind w:left="2" w:leftChars="1" w:firstLine="480" w:firstLineChars="200"/>
        <w:rPr>
          <w:rFonts w:ascii="仿宋_GB2312" w:hAnsi="仿宋_GB2312" w:eastAsia="仿宋_GB2312"/>
        </w:rPr>
      </w:pPr>
      <w:r>
        <w:rPr>
          <w:rFonts w:hint="eastAsia" w:ascii="仿宋_GB2312" w:hAnsi="仿宋_GB2312" w:eastAsia="仿宋_GB2312" w:cs="仿宋"/>
        </w:rPr>
        <w:t>3</w:t>
      </w:r>
      <w:r>
        <w:rPr>
          <w:rFonts w:ascii="仿宋_GB2312" w:hAnsi="仿宋_GB2312" w:eastAsia="仿宋_GB2312" w:cs="仿宋"/>
        </w:rPr>
        <w:t xml:space="preserve">.2 </w:t>
      </w:r>
      <w:r>
        <w:rPr>
          <w:rFonts w:hint="eastAsia" w:ascii="仿宋_GB2312" w:hAnsi="仿宋_GB2312" w:eastAsia="仿宋_GB2312" w:cs="仿宋"/>
        </w:rPr>
        <w:t>对于谈判文件没有格式要求的由供应商自行编写。</w:t>
      </w:r>
      <w:bookmarkStart w:id="35" w:name="_Toc183682361"/>
      <w:bookmarkStart w:id="36" w:name="_Toc183582224"/>
      <w:bookmarkStart w:id="37" w:name="_Toc217446051"/>
    </w:p>
    <w:p w14:paraId="0B84A158">
      <w:pPr>
        <w:spacing w:line="360" w:lineRule="auto"/>
        <w:ind w:firstLine="472" w:firstLineChars="196"/>
        <w:rPr>
          <w:rFonts w:ascii="仿宋_GB2312" w:hAnsi="仿宋_GB2312" w:eastAsia="仿宋_GB2312" w:cs="仿宋"/>
          <w:b/>
          <w:bCs/>
        </w:rPr>
      </w:pPr>
      <w:r>
        <w:rPr>
          <w:rFonts w:hint="eastAsia" w:ascii="仿宋_GB2312" w:hAnsi="仿宋_GB2312" w:eastAsia="仿宋_GB2312" w:cs="仿宋"/>
          <w:b/>
          <w:bCs/>
        </w:rPr>
        <w:t>4</w:t>
      </w:r>
      <w:r>
        <w:rPr>
          <w:rFonts w:ascii="仿宋_GB2312" w:hAnsi="仿宋_GB2312" w:eastAsia="仿宋_GB2312" w:cs="仿宋"/>
          <w:b/>
          <w:bCs/>
        </w:rPr>
        <w:t>.</w:t>
      </w:r>
      <w:r>
        <w:rPr>
          <w:rFonts w:hint="eastAsia" w:ascii="仿宋_GB2312" w:hAnsi="仿宋_GB2312" w:eastAsia="仿宋_GB2312" w:cs="仿宋"/>
          <w:b/>
          <w:bCs/>
        </w:rPr>
        <w:t>响应文件的编制和盖章</w:t>
      </w:r>
    </w:p>
    <w:p w14:paraId="1CEC9F21">
      <w:pPr>
        <w:spacing w:line="360" w:lineRule="auto"/>
        <w:ind w:left="2" w:leftChars="1" w:firstLine="480" w:firstLineChars="200"/>
        <w:rPr>
          <w:rFonts w:ascii="仿宋_GB2312" w:hAnsi="仿宋_GB2312" w:eastAsia="仿宋_GB2312" w:cs="仿宋"/>
        </w:rPr>
      </w:pPr>
      <w:r>
        <w:rPr>
          <w:rFonts w:hint="eastAsia" w:ascii="仿宋_GB2312" w:hAnsi="仿宋_GB2312" w:eastAsia="仿宋_GB2312" w:cs="仿宋"/>
        </w:rPr>
        <w:t>4</w:t>
      </w:r>
      <w:r>
        <w:rPr>
          <w:rFonts w:ascii="仿宋_GB2312" w:hAnsi="仿宋_GB2312" w:eastAsia="仿宋_GB2312" w:cs="仿宋"/>
        </w:rPr>
        <w:t>.1</w:t>
      </w:r>
      <w:r>
        <w:rPr>
          <w:rFonts w:hint="eastAsia" w:ascii="仿宋_GB2312" w:hAnsi="仿宋_GB2312" w:eastAsia="仿宋_GB2312" w:cs="仿宋"/>
        </w:rPr>
        <w:t>供应商应当认真阅读和充分理解谈判文件中所有的事项、格式条款和规范要求。</w:t>
      </w:r>
    </w:p>
    <w:p w14:paraId="03279E89">
      <w:pPr>
        <w:spacing w:line="360" w:lineRule="auto"/>
        <w:ind w:left="2" w:leftChars="1" w:firstLine="480" w:firstLineChars="200"/>
        <w:rPr>
          <w:rFonts w:ascii="仿宋_GB2312" w:hAnsi="仿宋_GB2312" w:eastAsia="仿宋_GB2312" w:cs="仿宋"/>
          <w:lang w:val="zh-CN"/>
        </w:rPr>
      </w:pPr>
      <w:r>
        <w:rPr>
          <w:rFonts w:hint="eastAsia" w:ascii="仿宋_GB2312" w:hAnsi="仿宋_GB2312" w:eastAsia="仿宋_GB2312" w:cs="仿宋"/>
        </w:rPr>
        <w:t>4.2</w:t>
      </w:r>
      <w:r>
        <w:rPr>
          <w:rFonts w:hint="eastAsia" w:ascii="仿宋_GB2312" w:hAnsi="仿宋_GB2312" w:eastAsia="仿宋_GB2312" w:cs="仿宋"/>
          <w:lang w:val="zh-CN"/>
        </w:rPr>
        <w:t>供应商响应文件中提供的各种材料（</w:t>
      </w:r>
      <w:r>
        <w:rPr>
          <w:rFonts w:ascii="仿宋_GB2312" w:hAnsi="仿宋_GB2312" w:eastAsia="仿宋_GB2312" w:cs="仿宋"/>
        </w:rPr>
        <w:t>包括提供的第三方出具的</w:t>
      </w:r>
      <w:r>
        <w:rPr>
          <w:rFonts w:hint="eastAsia" w:ascii="仿宋_GB2312" w:hAnsi="仿宋_GB2312" w:eastAsia="仿宋_GB2312" w:cs="仿宋"/>
        </w:rPr>
        <w:t>材</w:t>
      </w:r>
      <w:r>
        <w:rPr>
          <w:rFonts w:ascii="仿宋_GB2312" w:hAnsi="仿宋_GB2312" w:eastAsia="仿宋_GB2312" w:cs="仿宋"/>
        </w:rPr>
        <w:t>料</w:t>
      </w:r>
      <w:r>
        <w:rPr>
          <w:rFonts w:hint="eastAsia" w:ascii="仿宋_GB2312" w:hAnsi="仿宋_GB2312" w:eastAsia="仿宋_GB2312" w:cs="仿宋"/>
        </w:rPr>
        <w:t>）</w:t>
      </w:r>
      <w:r>
        <w:rPr>
          <w:rFonts w:hint="eastAsia" w:ascii="仿宋_GB2312" w:hAnsi="仿宋_GB2312" w:eastAsia="仿宋_GB2312" w:cs="仿宋"/>
          <w:lang w:val="zh-CN"/>
        </w:rPr>
        <w:t>、声明和承诺等所有内容均应当真实有效，</w:t>
      </w:r>
      <w:r>
        <w:rPr>
          <w:rFonts w:ascii="仿宋_GB2312" w:hAnsi="仿宋_GB2312" w:eastAsia="仿宋_GB2312" w:cs="仿宋"/>
        </w:rPr>
        <w:t>供应商自行承担</w:t>
      </w:r>
      <w:r>
        <w:rPr>
          <w:rFonts w:hint="eastAsia" w:ascii="仿宋_GB2312" w:hAnsi="仿宋_GB2312" w:eastAsia="仿宋_GB2312" w:cs="仿宋"/>
          <w:lang w:val="zh-CN"/>
        </w:rPr>
        <w:t>出现无效、虚假等内容</w:t>
      </w:r>
      <w:r>
        <w:rPr>
          <w:rFonts w:ascii="仿宋_GB2312" w:hAnsi="仿宋_GB2312" w:eastAsia="仿宋_GB2312" w:cs="仿宋"/>
        </w:rPr>
        <w:t>所带来的不利后果</w:t>
      </w:r>
      <w:r>
        <w:rPr>
          <w:rFonts w:hint="eastAsia" w:ascii="仿宋_GB2312" w:hAnsi="仿宋_GB2312" w:eastAsia="仿宋_GB2312" w:cs="仿宋"/>
          <w:lang w:val="zh-CN"/>
        </w:rPr>
        <w:t>。</w:t>
      </w:r>
    </w:p>
    <w:p w14:paraId="0540670F">
      <w:pPr>
        <w:spacing w:line="360" w:lineRule="auto"/>
        <w:ind w:left="2" w:leftChars="1" w:firstLine="480" w:firstLineChars="200"/>
        <w:rPr>
          <w:rFonts w:ascii="仿宋_GB2312" w:hAnsi="仿宋_GB2312" w:eastAsia="仿宋_GB2312" w:cs="仿宋"/>
        </w:rPr>
      </w:pPr>
      <w:r>
        <w:rPr>
          <w:rFonts w:hint="eastAsia" w:ascii="仿宋_GB2312" w:hAnsi="仿宋_GB2312" w:eastAsia="仿宋_GB2312" w:cs="仿宋"/>
        </w:rPr>
        <w:t>4.3供应商应当按照谈判文件规定、报名领取响应文件，并对其提交的响应文件的真实性、合法性承担法律责任。</w:t>
      </w:r>
    </w:p>
    <w:p w14:paraId="137C6F10">
      <w:pPr>
        <w:spacing w:line="360" w:lineRule="auto"/>
        <w:ind w:left="2" w:leftChars="1" w:firstLine="480" w:firstLineChars="200"/>
        <w:rPr>
          <w:rFonts w:ascii="仿宋_GB2312" w:hAnsi="仿宋_GB2312" w:eastAsia="仿宋_GB2312" w:cs="仿宋"/>
        </w:rPr>
      </w:pPr>
      <w:r>
        <w:rPr>
          <w:rFonts w:hint="eastAsia" w:ascii="仿宋_GB2312" w:hAnsi="仿宋_GB2312" w:eastAsia="仿宋_GB2312" w:cs="仿宋"/>
        </w:rPr>
        <w:t>4.4响应文件中的附件或者图片的内容信息应当清晰可辨，否则供应商自行承担不利后果。</w:t>
      </w:r>
    </w:p>
    <w:p w14:paraId="64330CD2">
      <w:pPr>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4.5</w:t>
      </w:r>
      <w:r>
        <w:rPr>
          <w:rFonts w:hint="eastAsia" w:ascii="仿宋_GB2312" w:hAnsi="仿宋_GB2312" w:eastAsia="仿宋_GB2312" w:cs="仿宋"/>
          <w:b/>
        </w:rPr>
        <w:t>（实质性要求）</w:t>
      </w:r>
      <w:r>
        <w:rPr>
          <w:rFonts w:hint="eastAsia" w:ascii="仿宋_GB2312" w:hAnsi="仿宋_GB2312" w:eastAsia="仿宋_GB2312" w:cs="仿宋"/>
        </w:rPr>
        <w:t>本项目谈判文件及其“响应文件格式”中规定需要供应商加盖公章。</w:t>
      </w:r>
      <w:bookmarkEnd w:id="35"/>
      <w:bookmarkEnd w:id="36"/>
      <w:bookmarkEnd w:id="37"/>
      <w:r>
        <w:rPr>
          <w:rFonts w:hint="eastAsia" w:ascii="仿宋_GB2312" w:hAnsi="仿宋_GB2312" w:eastAsia="仿宋_GB2312" w:cs="仿宋"/>
        </w:rPr>
        <w:t>谈判过程中供应商提交的响应文件（包括澄清、说明、报价等）应当由供应商的法定代表人/负责人或授权代表现场签字确认，交由采购人供谈判小组评审。</w:t>
      </w:r>
    </w:p>
    <w:p w14:paraId="74C0F00E">
      <w:pPr>
        <w:tabs>
          <w:tab w:val="left" w:pos="1080"/>
        </w:tabs>
        <w:adjustRightInd w:val="0"/>
        <w:snapToGrid w:val="0"/>
        <w:spacing w:line="360" w:lineRule="auto"/>
        <w:ind w:firstLine="463" w:firstLineChars="192"/>
        <w:rPr>
          <w:rFonts w:ascii="仿宋_GB2312" w:hAnsi="仿宋_GB2312" w:eastAsia="仿宋_GB2312"/>
          <w:b/>
          <w:bCs/>
        </w:rPr>
      </w:pPr>
      <w:bookmarkStart w:id="38" w:name="_Toc217446053"/>
      <w:bookmarkStart w:id="39" w:name="_Toc183582226"/>
      <w:bookmarkStart w:id="40" w:name="_Toc77400781"/>
      <w:bookmarkStart w:id="41" w:name="_Toc183682363"/>
      <w:bookmarkStart w:id="42" w:name="_Toc89075877"/>
      <w:r>
        <w:rPr>
          <w:rFonts w:hint="eastAsia" w:ascii="仿宋_GB2312" w:hAnsi="仿宋_GB2312" w:eastAsia="仿宋_GB2312" w:cs="仿宋"/>
          <w:b/>
          <w:bCs/>
        </w:rPr>
        <w:t>5</w:t>
      </w:r>
      <w:r>
        <w:rPr>
          <w:rFonts w:ascii="仿宋_GB2312" w:hAnsi="仿宋_GB2312" w:eastAsia="仿宋_GB2312" w:cs="仿宋"/>
          <w:b/>
          <w:bCs/>
        </w:rPr>
        <w:t>.</w:t>
      </w:r>
      <w:r>
        <w:rPr>
          <w:rFonts w:hint="eastAsia" w:ascii="仿宋_GB2312" w:hAnsi="仿宋_GB2312" w:eastAsia="仿宋_GB2312" w:cs="仿宋"/>
          <w:b/>
          <w:bCs/>
        </w:rPr>
        <w:t>响应文件的拒收、补充、修改和撤回</w:t>
      </w:r>
    </w:p>
    <w:p w14:paraId="40F75E69">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5.1</w:t>
      </w:r>
      <w:bookmarkEnd w:id="38"/>
      <w:bookmarkEnd w:id="39"/>
      <w:bookmarkEnd w:id="40"/>
      <w:bookmarkEnd w:id="41"/>
      <w:bookmarkEnd w:id="42"/>
      <w:bookmarkStart w:id="43" w:name="_Toc183682365"/>
      <w:bookmarkStart w:id="44" w:name="_Toc217446055"/>
      <w:bookmarkStart w:id="45" w:name="_Toc183582228"/>
      <w:r>
        <w:rPr>
          <w:rFonts w:hint="eastAsia" w:ascii="仿宋_GB2312" w:hAnsi="仿宋_GB2312" w:eastAsia="仿宋_GB2312" w:cs="仿宋"/>
        </w:rPr>
        <w:t>供应商应当按照谈判文件规定规范编制、确认、响应文件，并在响应文件提交截止时间前现场提交。</w:t>
      </w:r>
    </w:p>
    <w:p w14:paraId="09AC321F">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未按前款规定编制、确认、提交的响应文件，将被拒绝接收。</w:t>
      </w:r>
    </w:p>
    <w:p w14:paraId="0C93C87A">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成功提交响应文件的供应商信息，在响应文件提交截止时间前应当保密。</w:t>
      </w:r>
    </w:p>
    <w:p w14:paraId="56496416">
      <w:pPr>
        <w:shd w:val="clear" w:color="auto" w:fill="FFFFFF"/>
        <w:adjustRightInd w:val="0"/>
        <w:snapToGrid w:val="0"/>
        <w:spacing w:line="360" w:lineRule="auto"/>
        <w:ind w:firstLine="480" w:firstLineChars="200"/>
        <w:rPr>
          <w:rFonts w:ascii="仿宋_GB2312" w:hAnsi="仿宋_GB2312" w:eastAsia="仿宋_GB2312"/>
          <w:color w:val="000000"/>
          <w:sz w:val="32"/>
          <w:szCs w:val="32"/>
          <w:shd w:val="clear" w:color="auto" w:fill="FFFFFF"/>
        </w:rPr>
      </w:pPr>
      <w:r>
        <w:rPr>
          <w:rFonts w:hint="eastAsia" w:ascii="仿宋_GB2312" w:hAnsi="仿宋_GB2312" w:eastAsia="仿宋_GB2312" w:cs="仿宋"/>
        </w:rPr>
        <w:t>5</w:t>
      </w:r>
      <w:r>
        <w:rPr>
          <w:rFonts w:ascii="仿宋_GB2312" w:hAnsi="仿宋_GB2312" w:eastAsia="仿宋_GB2312" w:cs="仿宋"/>
        </w:rPr>
        <w:t>.</w:t>
      </w:r>
      <w:r>
        <w:rPr>
          <w:rFonts w:hint="eastAsia" w:ascii="仿宋_GB2312" w:hAnsi="仿宋_GB2312" w:eastAsia="仿宋_GB2312" w:cs="仿宋"/>
        </w:rPr>
        <w:t>2响应文件提交截止时间前，成功提交响应文件的供应商，可以补充、修改或者撤回已提交的响应文件；进行补充、修改的，应当先行撤回已提交的响应文件，补充、修改的后重新提交。</w:t>
      </w:r>
    </w:p>
    <w:p w14:paraId="3B9C1013">
      <w:pPr>
        <w:tabs>
          <w:tab w:val="left" w:pos="1080"/>
        </w:tabs>
        <w:adjustRightInd w:val="0"/>
        <w:snapToGrid w:val="0"/>
        <w:spacing w:line="360" w:lineRule="auto"/>
        <w:ind w:firstLine="460" w:firstLineChars="192"/>
        <w:jc w:val="both"/>
        <w:rPr>
          <w:rFonts w:ascii="仿宋_GB2312" w:hAnsi="仿宋_GB2312" w:eastAsia="仿宋_GB2312" w:cs="仿宋"/>
        </w:rPr>
      </w:pPr>
      <w:r>
        <w:rPr>
          <w:rFonts w:hint="eastAsia" w:ascii="仿宋_GB2312" w:hAnsi="仿宋_GB2312" w:eastAsia="仿宋_GB2312" w:cs="仿宋"/>
        </w:rPr>
        <w:t>5.3除供应商外，其他任何单位和个人不得拆解其响应文件。</w:t>
      </w:r>
      <w:bookmarkEnd w:id="43"/>
      <w:bookmarkEnd w:id="44"/>
      <w:bookmarkEnd w:id="45"/>
    </w:p>
    <w:p w14:paraId="092F9A7A">
      <w:pPr>
        <w:pStyle w:val="5"/>
        <w:adjustRightInd w:val="0"/>
        <w:snapToGrid w:val="0"/>
        <w:spacing w:line="360" w:lineRule="auto"/>
        <w:ind w:firstLine="480"/>
        <w:rPr>
          <w:rFonts w:ascii="仿宋_GB2312" w:hAnsi="仿宋_GB2312" w:eastAsia="仿宋_GB2312" w:cs="仿宋"/>
        </w:rPr>
      </w:pPr>
    </w:p>
    <w:p w14:paraId="04D94E13">
      <w:pPr>
        <w:spacing w:line="360" w:lineRule="auto"/>
        <w:ind w:firstLine="480"/>
        <w:jc w:val="center"/>
        <w:rPr>
          <w:rFonts w:ascii="仿宋_GB2312" w:hAnsi="仿宋_GB2312" w:eastAsia="仿宋_GB2312" w:cs="仿宋"/>
          <w:b/>
          <w:bCs/>
          <w:sz w:val="32"/>
          <w:szCs w:val="32"/>
        </w:rPr>
      </w:pPr>
      <w:bookmarkStart w:id="46" w:name="_Toc77400782"/>
      <w:bookmarkStart w:id="47" w:name="_Toc183682368"/>
      <w:bookmarkStart w:id="48" w:name="_Toc217446056"/>
      <w:bookmarkStart w:id="49" w:name="_Toc89075878"/>
      <w:bookmarkStart w:id="50" w:name="_Toc183582231"/>
      <w:r>
        <w:rPr>
          <w:rFonts w:hint="eastAsia" w:ascii="仿宋_GB2312" w:hAnsi="仿宋_GB2312" w:eastAsia="仿宋_GB2312" w:cs="仿宋"/>
          <w:b/>
          <w:bCs/>
          <w:sz w:val="32"/>
          <w:szCs w:val="32"/>
        </w:rPr>
        <w:t>四、评审</w:t>
      </w:r>
    </w:p>
    <w:p w14:paraId="79CDDD32">
      <w:pPr>
        <w:spacing w:line="360" w:lineRule="auto"/>
        <w:ind w:firstLine="480"/>
        <w:rPr>
          <w:rFonts w:ascii="仿宋_GB2312" w:hAnsi="仿宋_GB2312" w:eastAsia="仿宋_GB2312" w:cs="仿宋"/>
        </w:rPr>
      </w:pPr>
      <w:r>
        <w:rPr>
          <w:rFonts w:ascii="仿宋_GB2312" w:hAnsi="仿宋_GB2312" w:eastAsia="仿宋_GB2312" w:cs="仿宋"/>
        </w:rPr>
        <w:t>评审工作在</w:t>
      </w:r>
      <w:r>
        <w:rPr>
          <w:rFonts w:hint="eastAsia" w:ascii="仿宋_GB2312" w:hAnsi="仿宋_GB2312" w:eastAsia="仿宋_GB2312" w:cs="仿宋"/>
        </w:rPr>
        <w:t>谈判现场完成</w:t>
      </w:r>
      <w:r>
        <w:rPr>
          <w:rFonts w:ascii="仿宋_GB2312" w:hAnsi="仿宋_GB2312" w:eastAsia="仿宋_GB2312" w:cs="仿宋"/>
        </w:rPr>
        <w:t>，供应商应当具备适应</w:t>
      </w:r>
      <w:r>
        <w:rPr>
          <w:rFonts w:hint="eastAsia" w:ascii="仿宋_GB2312" w:hAnsi="仿宋_GB2312" w:eastAsia="仿宋_GB2312" w:cs="仿宋"/>
        </w:rPr>
        <w:t>开标流程</w:t>
      </w:r>
      <w:r>
        <w:rPr>
          <w:rFonts w:ascii="仿宋_GB2312" w:hAnsi="仿宋_GB2312" w:eastAsia="仿宋_GB2312" w:cs="仿宋"/>
        </w:rPr>
        <w:t>规定开展评审所需的澄清</w:t>
      </w:r>
      <w:r>
        <w:rPr>
          <w:rFonts w:hint="eastAsia" w:ascii="仿宋_GB2312" w:hAnsi="仿宋_GB2312" w:eastAsia="仿宋_GB2312" w:cs="仿宋"/>
        </w:rPr>
        <w:t>、</w:t>
      </w:r>
      <w:r>
        <w:rPr>
          <w:rFonts w:ascii="仿宋_GB2312" w:hAnsi="仿宋_GB2312" w:eastAsia="仿宋_GB2312" w:cs="仿宋"/>
        </w:rPr>
        <w:t>说明</w:t>
      </w:r>
      <w:r>
        <w:rPr>
          <w:rFonts w:hint="eastAsia" w:ascii="仿宋_GB2312" w:hAnsi="仿宋_GB2312" w:eastAsia="仿宋_GB2312" w:cs="仿宋"/>
        </w:rPr>
        <w:t>、谈判</w:t>
      </w:r>
      <w:r>
        <w:rPr>
          <w:rFonts w:ascii="仿宋_GB2312" w:hAnsi="仿宋_GB2312" w:eastAsia="仿宋_GB2312" w:cs="仿宋"/>
        </w:rPr>
        <w:t>和报价等活动</w:t>
      </w:r>
      <w:r>
        <w:rPr>
          <w:rFonts w:hint="eastAsia" w:ascii="仿宋_GB2312" w:hAnsi="仿宋_GB2312" w:eastAsia="仿宋_GB2312" w:cs="仿宋"/>
        </w:rPr>
        <w:t>。</w:t>
      </w:r>
      <w:r>
        <w:rPr>
          <w:rFonts w:ascii="仿宋_GB2312" w:hAnsi="仿宋_GB2312" w:eastAsia="仿宋_GB2312" w:cs="仿宋"/>
        </w:rPr>
        <w:t>因供应商自身准备不足所造成的不利后果</w:t>
      </w:r>
      <w:r>
        <w:rPr>
          <w:rFonts w:hint="eastAsia" w:ascii="仿宋_GB2312" w:hAnsi="仿宋_GB2312" w:eastAsia="仿宋_GB2312" w:cs="仿宋"/>
        </w:rPr>
        <w:t>，</w:t>
      </w:r>
      <w:r>
        <w:rPr>
          <w:rFonts w:ascii="仿宋_GB2312" w:hAnsi="仿宋_GB2312" w:eastAsia="仿宋_GB2312" w:cs="仿宋"/>
        </w:rPr>
        <w:t>由其自行承担</w:t>
      </w:r>
      <w:r>
        <w:rPr>
          <w:rFonts w:hint="eastAsia" w:ascii="仿宋_GB2312" w:hAnsi="仿宋_GB2312" w:eastAsia="仿宋_GB2312" w:cs="仿宋"/>
        </w:rPr>
        <w:t>。</w:t>
      </w:r>
    </w:p>
    <w:p w14:paraId="16752F95">
      <w:pPr>
        <w:pStyle w:val="26"/>
        <w:spacing w:line="360" w:lineRule="auto"/>
        <w:ind w:firstLine="480" w:firstLineChars="200"/>
        <w:rPr>
          <w:rFonts w:hint="default" w:ascii="仿宋_GB2312" w:hAnsi="仿宋_GB2312" w:eastAsia="仿宋_GB2312" w:cs="仿宋"/>
          <w:szCs w:val="24"/>
        </w:rPr>
      </w:pPr>
      <w:r>
        <w:rPr>
          <w:rFonts w:hint="default" w:ascii="仿宋_GB2312" w:hAnsi="仿宋_GB2312" w:eastAsia="仿宋_GB2312" w:cs="仿宋"/>
          <w:szCs w:val="24"/>
        </w:rPr>
        <w:t>采购人委派的监督人员负责评审现场的监督工作</w:t>
      </w:r>
      <w:r>
        <w:rPr>
          <w:rFonts w:ascii="仿宋_GB2312" w:hAnsi="仿宋_GB2312" w:eastAsia="仿宋_GB2312" w:cs="仿宋"/>
          <w:szCs w:val="24"/>
        </w:rPr>
        <w:t>。</w:t>
      </w:r>
    </w:p>
    <w:p w14:paraId="598E7432">
      <w:pPr>
        <w:pStyle w:val="26"/>
        <w:spacing w:line="360" w:lineRule="auto"/>
        <w:ind w:firstLine="480" w:firstLineChars="200"/>
        <w:rPr>
          <w:rFonts w:hint="default" w:ascii="仿宋_GB2312" w:hAnsi="仿宋_GB2312" w:eastAsia="仿宋_GB2312" w:cs="仿宋"/>
          <w:szCs w:val="24"/>
        </w:rPr>
      </w:pPr>
    </w:p>
    <w:p w14:paraId="4B5C4C73">
      <w:pPr>
        <w:spacing w:line="360" w:lineRule="auto"/>
        <w:ind w:firstLine="480"/>
        <w:jc w:val="center"/>
        <w:rPr>
          <w:rFonts w:ascii="仿宋_GB2312" w:hAnsi="仿宋_GB2312" w:eastAsia="仿宋_GB2312" w:cs="仿宋"/>
          <w:b/>
          <w:bCs/>
          <w:sz w:val="32"/>
          <w:szCs w:val="32"/>
        </w:rPr>
      </w:pPr>
      <w:r>
        <w:rPr>
          <w:rFonts w:hint="eastAsia" w:ascii="仿宋_GB2312" w:hAnsi="仿宋_GB2312" w:eastAsia="仿宋_GB2312" w:cs="仿宋"/>
          <w:b/>
          <w:bCs/>
          <w:sz w:val="32"/>
          <w:szCs w:val="32"/>
        </w:rPr>
        <w:t>五、成交事项</w:t>
      </w:r>
    </w:p>
    <w:p w14:paraId="35250FAA">
      <w:pPr>
        <w:pStyle w:val="3"/>
        <w:keepNext w:val="0"/>
        <w:keepLines w:val="0"/>
        <w:spacing w:after="0" w:line="360" w:lineRule="auto"/>
        <w:ind w:firstLine="482" w:firstLineChars="200"/>
        <w:rPr>
          <w:rFonts w:ascii="仿宋_GB2312" w:hAnsi="仿宋_GB2312" w:eastAsia="仿宋_GB2312" w:cs="Times New Roman"/>
          <w:sz w:val="24"/>
          <w:szCs w:val="24"/>
        </w:rPr>
      </w:pPr>
      <w:r>
        <w:rPr>
          <w:rFonts w:ascii="仿宋_GB2312" w:hAnsi="仿宋_GB2312" w:eastAsia="仿宋_GB2312" w:cs="仿宋"/>
          <w:sz w:val="24"/>
          <w:szCs w:val="24"/>
        </w:rPr>
        <w:t>1.</w:t>
      </w:r>
      <w:r>
        <w:rPr>
          <w:rFonts w:hint="eastAsia" w:ascii="仿宋_GB2312" w:hAnsi="仿宋_GB2312" w:eastAsia="仿宋_GB2312" w:cs="仿宋"/>
          <w:sz w:val="24"/>
          <w:szCs w:val="24"/>
        </w:rPr>
        <w:t>确定成交供应商</w:t>
      </w:r>
    </w:p>
    <w:p w14:paraId="54F0B1A2">
      <w:pPr>
        <w:pStyle w:val="3"/>
        <w:keepNext w:val="0"/>
        <w:keepLines w:val="0"/>
        <w:spacing w:before="0" w:after="0" w:line="360" w:lineRule="auto"/>
        <w:ind w:firstLine="482" w:firstLineChars="200"/>
        <w:rPr>
          <w:rFonts w:ascii="仿宋_GB2312" w:hAnsi="仿宋_GB2312" w:eastAsia="仿宋_GB2312" w:cs="仿宋"/>
          <w:color w:val="FF0000"/>
          <w:sz w:val="24"/>
          <w:szCs w:val="24"/>
        </w:rPr>
      </w:pPr>
      <w:r>
        <w:rPr>
          <w:rFonts w:hint="eastAsia" w:ascii="仿宋_GB2312" w:hAnsi="仿宋_GB2312" w:eastAsia="仿宋_GB2312" w:cs="仿宋"/>
          <w:color w:val="000000" w:themeColor="text1"/>
          <w:sz w:val="24"/>
          <w:szCs w:val="24"/>
          <w14:textFill>
            <w14:solidFill>
              <w14:schemeClr w14:val="tx1"/>
            </w14:solidFill>
          </w14:textFill>
        </w:rPr>
        <w:t>采购人将按</w:t>
      </w:r>
      <w:r>
        <w:rPr>
          <w:rFonts w:hint="eastAsia" w:ascii="仿宋_GB2312" w:hAnsi="仿宋_GB2312" w:eastAsia="仿宋_GB2312" w:cs="仿宋"/>
          <w:color w:val="000000" w:themeColor="text1"/>
          <w:sz w:val="24"/>
          <w:szCs w:val="24"/>
          <w:lang w:eastAsia="zh-CN"/>
          <w14:textFill>
            <w14:solidFill>
              <w14:schemeClr w14:val="tx1"/>
            </w14:solidFill>
          </w14:textFill>
        </w:rPr>
        <w:t>竞争性谈判小组</w:t>
      </w:r>
      <w:r>
        <w:rPr>
          <w:rFonts w:hint="eastAsia" w:ascii="仿宋_GB2312" w:hAnsi="仿宋_GB2312" w:eastAsia="仿宋_GB2312" w:cs="仿宋"/>
          <w:color w:val="000000" w:themeColor="text1"/>
          <w:sz w:val="24"/>
          <w:szCs w:val="24"/>
          <w14:textFill>
            <w14:solidFill>
              <w14:schemeClr w14:val="tx1"/>
            </w14:solidFill>
          </w14:textFill>
        </w:rPr>
        <w:t>推荐的成交候选供应商顺序（经评审报价排名）确定成交供应商。</w:t>
      </w:r>
    </w:p>
    <w:p w14:paraId="493891AA">
      <w:pPr>
        <w:pStyle w:val="3"/>
        <w:keepNext w:val="0"/>
        <w:keepLines w:val="0"/>
        <w:spacing w:before="0" w:after="0" w:line="360" w:lineRule="auto"/>
        <w:ind w:firstLine="482" w:firstLineChars="200"/>
        <w:rPr>
          <w:rFonts w:ascii="仿宋_GB2312" w:hAnsi="仿宋_GB2312" w:eastAsia="仿宋_GB2312" w:cs="Times New Roman"/>
          <w:sz w:val="24"/>
          <w:szCs w:val="24"/>
        </w:rPr>
      </w:pPr>
      <w:r>
        <w:rPr>
          <w:rFonts w:ascii="仿宋_GB2312" w:hAnsi="仿宋_GB2312" w:eastAsia="仿宋_GB2312" w:cs="仿宋"/>
          <w:sz w:val="24"/>
          <w:szCs w:val="24"/>
        </w:rPr>
        <w:t>2.</w:t>
      </w:r>
      <w:r>
        <w:rPr>
          <w:rFonts w:hint="eastAsia" w:ascii="仿宋_GB2312" w:hAnsi="仿宋_GB2312" w:eastAsia="仿宋_GB2312" w:cs="仿宋"/>
          <w:sz w:val="24"/>
          <w:szCs w:val="24"/>
        </w:rPr>
        <w:t>成交结果</w:t>
      </w:r>
    </w:p>
    <w:p w14:paraId="4376C535">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采购人确定成交供应商后，将发出成交通知书并发布成交结果公告。成交供应商应当及时领取成交通知书。成交供应商不能及时领取成交通知书，采购人应当通过邮寄、快递等方式将项目成交通知书送达成交供应商。。</w:t>
      </w:r>
    </w:p>
    <w:p w14:paraId="749E599F">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成交通知书为签订采购合同的依据之一，是合同的有效组成部分。</w:t>
      </w:r>
    </w:p>
    <w:p w14:paraId="730E1A70">
      <w:pPr>
        <w:rPr>
          <w:rFonts w:ascii="仿宋_GB2312" w:hAnsi="仿宋_GB2312" w:eastAsia="仿宋_GB2312"/>
        </w:rPr>
      </w:pPr>
    </w:p>
    <w:p w14:paraId="7D13B35A">
      <w:pPr>
        <w:pStyle w:val="3"/>
        <w:keepNext w:val="0"/>
        <w:keepLines w:val="0"/>
        <w:spacing w:line="360" w:lineRule="auto"/>
        <w:jc w:val="center"/>
        <w:rPr>
          <w:rFonts w:ascii="仿宋_GB2312" w:hAnsi="仿宋_GB2312" w:eastAsia="仿宋_GB2312" w:cs="Times New Roman"/>
          <w:color w:val="0D0D0D"/>
        </w:rPr>
      </w:pPr>
      <w:r>
        <w:rPr>
          <w:rFonts w:hint="eastAsia" w:ascii="仿宋_GB2312" w:hAnsi="仿宋_GB2312" w:eastAsia="仿宋_GB2312" w:cs="仿宋"/>
          <w:color w:val="0D0D0D"/>
        </w:rPr>
        <w:t>六、合同事项</w:t>
      </w:r>
    </w:p>
    <w:p w14:paraId="68909433">
      <w:pPr>
        <w:pStyle w:val="3"/>
        <w:keepNext w:val="0"/>
        <w:keepLines w:val="0"/>
        <w:spacing w:before="0" w:after="0" w:line="360" w:lineRule="auto"/>
        <w:ind w:firstLine="472" w:firstLineChars="196"/>
        <w:rPr>
          <w:rFonts w:ascii="仿宋_GB2312" w:hAnsi="仿宋_GB2312" w:eastAsia="仿宋_GB2312" w:cs="Times New Roman"/>
          <w:sz w:val="24"/>
          <w:szCs w:val="24"/>
        </w:rPr>
      </w:pPr>
      <w:bookmarkStart w:id="51" w:name="_Toc430773927"/>
      <w:bookmarkStart w:id="52" w:name="_Toc101250646"/>
      <w:bookmarkStart w:id="53" w:name="_Toc101174151"/>
      <w:bookmarkStart w:id="54" w:name="_Toc101338364"/>
      <w:bookmarkStart w:id="55" w:name="_Toc209847069"/>
      <w:r>
        <w:rPr>
          <w:rFonts w:ascii="仿宋_GB2312" w:hAnsi="仿宋_GB2312" w:eastAsia="仿宋_GB2312" w:cs="仿宋"/>
          <w:sz w:val="24"/>
          <w:szCs w:val="24"/>
        </w:rPr>
        <w:t>1</w:t>
      </w:r>
      <w:r>
        <w:rPr>
          <w:rFonts w:hint="eastAsia" w:ascii="仿宋_GB2312" w:hAnsi="仿宋_GB2312" w:eastAsia="仿宋_GB2312" w:cs="仿宋"/>
          <w:sz w:val="24"/>
          <w:szCs w:val="24"/>
        </w:rPr>
        <w:t>.签订合同</w:t>
      </w:r>
      <w:bookmarkEnd w:id="51"/>
      <w:bookmarkEnd w:id="52"/>
      <w:bookmarkEnd w:id="53"/>
      <w:bookmarkEnd w:id="54"/>
      <w:bookmarkEnd w:id="55"/>
    </w:p>
    <w:p w14:paraId="41845D8F">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 xml:space="preserve">.1 </w:t>
      </w:r>
      <w:r>
        <w:rPr>
          <w:rFonts w:hint="eastAsia" w:ascii="仿宋_GB2312" w:hAnsi="仿宋_GB2312" w:eastAsia="仿宋_GB2312" w:cs="仿宋"/>
        </w:rPr>
        <w:t>成交供应商应</w:t>
      </w:r>
      <w:r>
        <w:rPr>
          <w:rFonts w:ascii="仿宋_GB2312" w:hAnsi="仿宋_GB2312" w:eastAsia="仿宋_GB2312" w:cs="仿宋"/>
        </w:rPr>
        <w:t>当</w:t>
      </w:r>
      <w:r>
        <w:rPr>
          <w:rFonts w:hint="eastAsia" w:ascii="仿宋_GB2312" w:hAnsi="仿宋_GB2312" w:eastAsia="仿宋_GB2312" w:cs="仿宋"/>
        </w:rPr>
        <w:t>在成交通知书发出之日起</w:t>
      </w:r>
      <w:r>
        <w:rPr>
          <w:rFonts w:ascii="仿宋_GB2312" w:hAnsi="仿宋_GB2312" w:eastAsia="仿宋_GB2312" w:cs="仿宋"/>
        </w:rPr>
        <w:t>30</w:t>
      </w:r>
      <w:r>
        <w:rPr>
          <w:rFonts w:hint="eastAsia" w:ascii="仿宋_GB2312" w:hAnsi="仿宋_GB2312" w:eastAsia="仿宋_GB2312" w:cs="仿宋"/>
        </w:rPr>
        <w:t>日内</w:t>
      </w:r>
      <w:r>
        <w:rPr>
          <w:rFonts w:ascii="仿宋_GB2312" w:hAnsi="仿宋_GB2312" w:eastAsia="仿宋_GB2312" w:cs="仿宋"/>
        </w:rPr>
        <w:t>草拟采购合同</w:t>
      </w:r>
      <w:r>
        <w:rPr>
          <w:rFonts w:hint="eastAsia" w:ascii="仿宋_GB2312" w:hAnsi="仿宋_GB2312" w:eastAsia="仿宋_GB2312" w:cs="仿宋"/>
        </w:rPr>
        <w:t>，</w:t>
      </w:r>
      <w:r>
        <w:rPr>
          <w:rFonts w:ascii="仿宋_GB2312" w:hAnsi="仿宋_GB2312" w:eastAsia="仿宋_GB2312" w:cs="仿宋"/>
        </w:rPr>
        <w:t>提交采购人确认</w:t>
      </w:r>
      <w:r>
        <w:rPr>
          <w:rFonts w:hint="eastAsia" w:ascii="仿宋_GB2312" w:hAnsi="仿宋_GB2312" w:eastAsia="仿宋_GB2312" w:cs="仿宋"/>
        </w:rPr>
        <w:t>，</w:t>
      </w:r>
      <w:r>
        <w:rPr>
          <w:rFonts w:ascii="仿宋_GB2312" w:hAnsi="仿宋_GB2312" w:eastAsia="仿宋_GB2312" w:cs="仿宋"/>
        </w:rPr>
        <w:t>达成一致后</w:t>
      </w:r>
      <w:r>
        <w:rPr>
          <w:rFonts w:hint="eastAsia" w:ascii="仿宋_GB2312" w:hAnsi="仿宋_GB2312" w:eastAsia="仿宋_GB2312" w:cs="仿宋"/>
        </w:rPr>
        <w:t>，</w:t>
      </w:r>
      <w:r>
        <w:rPr>
          <w:rFonts w:ascii="仿宋_GB2312" w:hAnsi="仿宋_GB2312" w:eastAsia="仿宋_GB2312" w:cs="仿宋"/>
        </w:rPr>
        <w:t>正式</w:t>
      </w:r>
      <w:r>
        <w:rPr>
          <w:rFonts w:hint="eastAsia" w:ascii="仿宋_GB2312" w:hAnsi="仿宋_GB2312" w:eastAsia="仿宋_GB2312" w:cs="仿宋"/>
        </w:rPr>
        <w:t>与采购人签订采购合同。由于成交供应商的原因逾期未与采购人签订采购合同的，将视为</w:t>
      </w:r>
      <w:r>
        <w:rPr>
          <w:rFonts w:ascii="仿宋_GB2312" w:hAnsi="仿宋_GB2312" w:eastAsia="仿宋_GB2312" w:cs="仿宋"/>
        </w:rPr>
        <w:t>拒绝与采购人签订采购合同</w:t>
      </w:r>
      <w:r>
        <w:rPr>
          <w:rFonts w:hint="eastAsia" w:ascii="仿宋_GB2312" w:hAnsi="仿宋_GB2312" w:eastAsia="仿宋_GB2312" w:cs="仿宋"/>
        </w:rPr>
        <w:t>，</w:t>
      </w:r>
      <w:r>
        <w:rPr>
          <w:rFonts w:ascii="仿宋_GB2312" w:hAnsi="仿宋_GB2312" w:eastAsia="仿宋_GB2312" w:cs="仿宋"/>
        </w:rPr>
        <w:t>采购人</w:t>
      </w:r>
      <w:r>
        <w:rPr>
          <w:rFonts w:hint="eastAsia" w:ascii="仿宋_GB2312" w:hAnsi="仿宋_GB2312" w:eastAsia="仿宋_GB2312" w:cs="仿宋"/>
        </w:rPr>
        <w:t>将按相关规定进行处理；</w:t>
      </w:r>
      <w:r>
        <w:rPr>
          <w:rFonts w:ascii="仿宋_GB2312" w:hAnsi="仿宋_GB2312" w:eastAsia="仿宋_GB2312" w:cs="仿宋"/>
        </w:rPr>
        <w:t>由于采购人的原因逾期未签订采购合同的</w:t>
      </w:r>
      <w:r>
        <w:rPr>
          <w:rFonts w:hint="eastAsia" w:ascii="仿宋_GB2312" w:hAnsi="仿宋_GB2312" w:eastAsia="仿宋_GB2312" w:cs="仿宋"/>
        </w:rPr>
        <w:t>，</w:t>
      </w:r>
      <w:r>
        <w:rPr>
          <w:rFonts w:ascii="仿宋_GB2312" w:hAnsi="仿宋_GB2312" w:eastAsia="仿宋_GB2312" w:cs="仿宋"/>
        </w:rPr>
        <w:t>由采购人承担相应法律责任</w:t>
      </w:r>
      <w:r>
        <w:rPr>
          <w:rFonts w:hint="eastAsia" w:ascii="仿宋_GB2312" w:hAnsi="仿宋_GB2312" w:eastAsia="仿宋_GB2312" w:cs="仿宋"/>
        </w:rPr>
        <w:t>。</w:t>
      </w:r>
    </w:p>
    <w:p w14:paraId="0FA18749">
      <w:pPr>
        <w:spacing w:line="360" w:lineRule="auto"/>
        <w:ind w:firstLine="480" w:firstLineChars="20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.2 采购合同应当依据</w:t>
      </w:r>
      <w:r>
        <w:rPr>
          <w:rFonts w:hint="eastAsia" w:ascii="仿宋_GB2312" w:hAnsi="仿宋_GB2312" w:eastAsia="仿宋_GB2312" w:cs="仿宋"/>
        </w:rPr>
        <w:t>谈判文件、成交供应商的响应文件及双方确认的澄清文件等</w:t>
      </w:r>
      <w:r>
        <w:rPr>
          <w:rFonts w:ascii="仿宋_GB2312" w:hAnsi="仿宋_GB2312" w:eastAsia="仿宋_GB2312" w:cs="仿宋"/>
        </w:rPr>
        <w:t>签订</w:t>
      </w:r>
      <w:r>
        <w:rPr>
          <w:rFonts w:hint="eastAsia" w:ascii="仿宋_GB2312" w:hAnsi="仿宋_GB2312" w:eastAsia="仿宋_GB2312" w:cs="仿宋"/>
        </w:rPr>
        <w:t>；采购人不得向成交供应商提出任何不合理的要求，作为签订合同的条件，不得与成交供应商私下订立背离合同实质性内容的任何协议。</w:t>
      </w:r>
    </w:p>
    <w:p w14:paraId="41EE1CB5">
      <w:pPr>
        <w:spacing w:line="360" w:lineRule="auto"/>
        <w:ind w:firstLine="482" w:firstLineChars="200"/>
        <w:rPr>
          <w:rFonts w:ascii="仿宋_GB2312" w:hAnsi="仿宋_GB2312" w:eastAsia="仿宋_GB2312"/>
          <w:b/>
          <w:bCs/>
        </w:rPr>
      </w:pPr>
      <w:r>
        <w:rPr>
          <w:rFonts w:hint="eastAsia" w:ascii="仿宋_GB2312" w:hAnsi="仿宋_GB2312" w:eastAsia="仿宋_GB2312" w:cs="仿宋"/>
          <w:b/>
          <w:bCs/>
        </w:rPr>
        <w:t>2</w:t>
      </w:r>
      <w:r>
        <w:rPr>
          <w:rFonts w:ascii="仿宋_GB2312" w:hAnsi="仿宋_GB2312" w:eastAsia="仿宋_GB2312" w:cs="仿宋"/>
          <w:b/>
          <w:bCs/>
        </w:rPr>
        <w:t>.</w:t>
      </w:r>
      <w:r>
        <w:rPr>
          <w:rFonts w:hint="eastAsia" w:ascii="仿宋_GB2312" w:hAnsi="仿宋_GB2312" w:eastAsia="仿宋_GB2312" w:cs="仿宋"/>
          <w:b/>
          <w:bCs/>
        </w:rPr>
        <w:t>履行合同</w:t>
      </w:r>
    </w:p>
    <w:p w14:paraId="1D7B5AFB">
      <w:pPr>
        <w:spacing w:line="360" w:lineRule="auto"/>
        <w:ind w:firstLine="480" w:firstLineChars="200"/>
        <w:rPr>
          <w:rFonts w:ascii="仿宋_GB2312" w:hAnsi="仿宋_GB2312" w:eastAsia="仿宋_GB2312"/>
        </w:rPr>
      </w:pPr>
      <w:r>
        <w:rPr>
          <w:rFonts w:hint="eastAsia" w:ascii="仿宋_GB2312" w:hAnsi="仿宋_GB2312" w:eastAsia="仿宋_GB2312" w:cs="仿宋"/>
        </w:rPr>
        <w:t>2</w:t>
      </w:r>
      <w:r>
        <w:rPr>
          <w:rFonts w:ascii="仿宋_GB2312" w:hAnsi="仿宋_GB2312" w:eastAsia="仿宋_GB2312" w:cs="仿宋"/>
        </w:rPr>
        <w:t xml:space="preserve">.1 </w:t>
      </w:r>
      <w:r>
        <w:rPr>
          <w:rFonts w:hint="eastAsia" w:ascii="仿宋_GB2312" w:hAnsi="仿宋_GB2312" w:eastAsia="仿宋_GB2312" w:cs="仿宋"/>
        </w:rPr>
        <w:t>成交供应商与采购人签订合同后，合同双方应严格执行合同条款，履行合同规定的义务，保证合同的顺利完成。</w:t>
      </w:r>
    </w:p>
    <w:p w14:paraId="6CAE2632">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w:t>
      </w:r>
      <w:r>
        <w:rPr>
          <w:rFonts w:ascii="仿宋_GB2312" w:hAnsi="仿宋_GB2312" w:eastAsia="仿宋_GB2312" w:cs="仿宋"/>
        </w:rPr>
        <w:t xml:space="preserve">.2 </w:t>
      </w:r>
      <w:r>
        <w:rPr>
          <w:rFonts w:hint="eastAsia" w:ascii="仿宋_GB2312" w:hAnsi="仿宋_GB2312" w:eastAsia="仿宋_GB2312" w:cs="仿宋"/>
        </w:rPr>
        <w:t>在合同履行过程中，如发生合同纠纷，合同双方应按照合同约定及《</w:t>
      </w:r>
      <w:r>
        <w:rPr>
          <w:rFonts w:hint="eastAsia" w:ascii="仿宋_GB2312" w:hAnsi="仿宋_GB2312" w:eastAsia="仿宋_GB2312" w:cs="仿宋"/>
          <w:color w:val="000000"/>
        </w:rPr>
        <w:t>中华人民共和国民法典</w:t>
      </w:r>
      <w:r>
        <w:rPr>
          <w:rFonts w:hint="eastAsia" w:ascii="仿宋_GB2312" w:hAnsi="仿宋_GB2312" w:eastAsia="仿宋_GB2312" w:cs="仿宋"/>
        </w:rPr>
        <w:t>》的有关规定进行处理。</w:t>
      </w:r>
    </w:p>
    <w:p w14:paraId="1734A218">
      <w:pPr>
        <w:pStyle w:val="6"/>
      </w:pPr>
    </w:p>
    <w:p w14:paraId="482555FC">
      <w:pPr>
        <w:pStyle w:val="3"/>
        <w:keepNext w:val="0"/>
        <w:keepLines w:val="0"/>
        <w:spacing w:before="0" w:after="0" w:line="360" w:lineRule="auto"/>
        <w:jc w:val="center"/>
        <w:rPr>
          <w:rFonts w:ascii="仿宋_GB2312" w:hAnsi="仿宋_GB2312" w:eastAsia="仿宋_GB2312" w:cs="Times New Roman"/>
        </w:rPr>
      </w:pPr>
      <w:r>
        <w:rPr>
          <w:rFonts w:hint="eastAsia" w:ascii="仿宋_GB2312" w:hAnsi="仿宋_GB2312" w:eastAsia="仿宋_GB2312" w:cs="仿宋"/>
        </w:rPr>
        <w:t>七、纪律要求</w:t>
      </w:r>
    </w:p>
    <w:p w14:paraId="03111FCB">
      <w:pPr>
        <w:tabs>
          <w:tab w:val="left" w:pos="851"/>
        </w:tabs>
        <w:spacing w:line="360" w:lineRule="auto"/>
        <w:ind w:firstLine="480" w:firstLineChars="200"/>
        <w:rPr>
          <w:rFonts w:ascii="仿宋_GB2312" w:hAnsi="仿宋_GB2312" w:eastAsia="仿宋_GB2312"/>
        </w:rPr>
      </w:pPr>
      <w:r>
        <w:rPr>
          <w:rFonts w:ascii="仿宋_GB2312" w:hAnsi="仿宋_GB2312" w:eastAsia="仿宋_GB2312" w:cs="仿宋"/>
        </w:rPr>
        <w:t>1.采购人保证</w:t>
      </w:r>
      <w:r>
        <w:rPr>
          <w:rFonts w:hint="eastAsia" w:ascii="仿宋_GB2312" w:hAnsi="仿宋_GB2312" w:eastAsia="仿宋_GB2312" w:cs="仿宋"/>
        </w:rPr>
        <w:t>谈判</w:t>
      </w:r>
      <w:r>
        <w:rPr>
          <w:rFonts w:ascii="仿宋_GB2312" w:hAnsi="仿宋_GB2312" w:eastAsia="仿宋_GB2312" w:cs="仿宋"/>
        </w:rPr>
        <w:t>活动在严格保密的情况下进行</w:t>
      </w:r>
      <w:r>
        <w:rPr>
          <w:rFonts w:hint="eastAsia" w:ascii="仿宋_GB2312" w:hAnsi="仿宋_GB2312" w:eastAsia="仿宋_GB2312" w:cs="仿宋"/>
        </w:rPr>
        <w:t>，采购人、供应商和谈判小组成员应当严格遵守政府采购法律法规规章制度和本项目谈判文件以及采购人现场管理规定，接受采购人委派的监督人员的监督，</w:t>
      </w:r>
      <w:r>
        <w:rPr>
          <w:rFonts w:ascii="仿宋_GB2312" w:hAnsi="仿宋_GB2312" w:eastAsia="仿宋_GB2312" w:cs="仿宋"/>
        </w:rPr>
        <w:t>任何单位和个人不得非法干预和影响</w:t>
      </w:r>
      <w:r>
        <w:rPr>
          <w:rFonts w:hint="eastAsia" w:ascii="仿宋_GB2312" w:hAnsi="仿宋_GB2312" w:eastAsia="仿宋_GB2312" w:cs="仿宋"/>
        </w:rPr>
        <w:t>谈判</w:t>
      </w:r>
      <w:r>
        <w:rPr>
          <w:rFonts w:ascii="仿宋_GB2312" w:hAnsi="仿宋_GB2312" w:eastAsia="仿宋_GB2312" w:cs="仿宋"/>
        </w:rPr>
        <w:t>过程和结果</w:t>
      </w:r>
      <w:r>
        <w:rPr>
          <w:rFonts w:hint="eastAsia" w:ascii="仿宋_GB2312" w:hAnsi="仿宋_GB2312" w:eastAsia="仿宋_GB2312" w:cs="仿宋"/>
        </w:rPr>
        <w:t>。</w:t>
      </w:r>
    </w:p>
    <w:p w14:paraId="1B1A905C">
      <w:pPr>
        <w:pStyle w:val="27"/>
        <w:spacing w:line="360" w:lineRule="auto"/>
        <w:ind w:firstLine="480" w:firstLineChars="200"/>
        <w:jc w:val="both"/>
        <w:rPr>
          <w:rFonts w:ascii="仿宋_GB2312" w:hAnsi="仿宋_GB2312" w:eastAsia="仿宋_GB2312" w:cs="仿宋"/>
        </w:rPr>
      </w:pPr>
      <w:r>
        <w:rPr>
          <w:rFonts w:ascii="仿宋_GB2312" w:hAnsi="仿宋_GB2312" w:eastAsia="仿宋_GB2312" w:cs="仿宋"/>
        </w:rPr>
        <w:t>2.</w:t>
      </w:r>
      <w:r>
        <w:rPr>
          <w:rFonts w:hint="eastAsia" w:ascii="仿宋_GB2312" w:hAnsi="仿宋_GB2312" w:eastAsia="仿宋_GB2312" w:cs="仿宋"/>
        </w:rPr>
        <w:t>采购活动中，采购人员及相关人员与供应商有下列利害关系之一的，应当回避：</w:t>
      </w:r>
    </w:p>
    <w:p w14:paraId="30633F92">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（1）参加采购活动前3年内与供应商存在劳动关系；</w:t>
      </w:r>
    </w:p>
    <w:p w14:paraId="72E2BDCF">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（2）参加采购活动前3年内担任供应商的董事、监事；</w:t>
      </w:r>
    </w:p>
    <w:p w14:paraId="3E262F25">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（3）参加采购活动前3年内是供应商的控股股东或者实际控制人；</w:t>
      </w:r>
    </w:p>
    <w:p w14:paraId="452928EB">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（4）与供应商的法定代表人或者负责人有夫妻、直系血亲、三代以内旁系血亲或者近姻亲关系；</w:t>
      </w:r>
    </w:p>
    <w:p w14:paraId="502C7A52">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（5）与供应商有其他可能影响政府采购活动公平、公正进行的关系。</w:t>
      </w:r>
    </w:p>
    <w:p w14:paraId="5757B75D">
      <w:pPr>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供应商认为采购人员及相关人员与其他供应商有利害关系的，可以向采购人书面提出回避申请，并说明理由。采购人将及时询问被申请回避人员，有利害关系的被申请回避人员应当回避。</w:t>
      </w:r>
    </w:p>
    <w:p w14:paraId="6B3D51F2">
      <w:pPr>
        <w:tabs>
          <w:tab w:val="left" w:pos="851"/>
        </w:tabs>
        <w:spacing w:line="360" w:lineRule="auto"/>
        <w:ind w:firstLine="480" w:firstLineChars="200"/>
        <w:rPr>
          <w:rFonts w:ascii="仿宋_GB2312" w:hAnsi="仿宋_GB2312" w:eastAsia="仿宋_GB2312"/>
        </w:rPr>
      </w:pPr>
      <w:r>
        <w:rPr>
          <w:rFonts w:ascii="仿宋_GB2312" w:hAnsi="仿宋_GB2312" w:eastAsia="仿宋_GB2312" w:cs="仿宋"/>
        </w:rPr>
        <w:t>3.</w:t>
      </w:r>
      <w:r>
        <w:rPr>
          <w:rFonts w:hint="eastAsia" w:ascii="仿宋_GB2312" w:hAnsi="仿宋_GB2312" w:eastAsia="仿宋_GB2312" w:cs="仿宋"/>
        </w:rPr>
        <w:t>在谈判过程中，供应商不得以任何形式和谈判小组成员进行旨在影响谈判结果的私下接触，否则将取消其参与谈判的资格。</w:t>
      </w:r>
    </w:p>
    <w:p w14:paraId="29FA9DF4">
      <w:pPr>
        <w:tabs>
          <w:tab w:val="left" w:pos="851"/>
        </w:tabs>
        <w:spacing w:line="360" w:lineRule="auto"/>
        <w:ind w:firstLine="480" w:firstLineChars="200"/>
        <w:rPr>
          <w:rFonts w:ascii="仿宋_GB2312" w:hAnsi="仿宋_GB2312" w:eastAsia="仿宋_GB2312"/>
        </w:rPr>
      </w:pPr>
      <w:r>
        <w:rPr>
          <w:rFonts w:ascii="仿宋_GB2312" w:hAnsi="仿宋_GB2312" w:eastAsia="仿宋_GB2312" w:cs="仿宋"/>
        </w:rPr>
        <w:t>4.</w:t>
      </w:r>
      <w:r>
        <w:rPr>
          <w:rFonts w:hint="eastAsia" w:ascii="仿宋_GB2312" w:hAnsi="仿宋_GB2312" w:eastAsia="仿宋_GB2312" w:cs="仿宋"/>
        </w:rPr>
        <w:t>对各供应商的商业秘密，谈判小组成员应予以保密，不得泄露给其他供应商。</w:t>
      </w:r>
    </w:p>
    <w:p w14:paraId="47CAC75C">
      <w:pPr>
        <w:tabs>
          <w:tab w:val="left" w:pos="851"/>
        </w:tabs>
        <w:spacing w:line="360" w:lineRule="auto"/>
        <w:rPr>
          <w:rFonts w:ascii="仿宋_GB2312" w:hAnsi="仿宋_GB2312" w:eastAsia="仿宋_GB2312"/>
        </w:rPr>
      </w:pPr>
    </w:p>
    <w:p w14:paraId="5BD2368D">
      <w:pPr>
        <w:tabs>
          <w:tab w:val="left" w:pos="851"/>
        </w:tabs>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八、询问、质疑和投诉</w:t>
      </w:r>
    </w:p>
    <w:p w14:paraId="24A6E5EB">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询问、质疑、投诉的提出和处理严格按照《中华人民共和国政府采购法》、《中华人民共和国政府采购法实施条例》和财政部《政府采购质疑和投诉办法》（财政部令第94号）的规定执行。</w:t>
      </w:r>
    </w:p>
    <w:p w14:paraId="009EBA42">
      <w:pPr>
        <w:tabs>
          <w:tab w:val="left" w:pos="851"/>
        </w:tabs>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九、其他</w:t>
      </w:r>
    </w:p>
    <w:p w14:paraId="52D51E33">
      <w:pPr>
        <w:spacing w:line="360" w:lineRule="auto"/>
        <w:ind w:firstLine="480" w:firstLineChars="200"/>
        <w:rPr>
          <w:rFonts w:ascii="仿宋_GB2312" w:hAnsi="仿宋_GB2312" w:eastAsia="仿宋_GB2312" w:cs="仿宋"/>
        </w:rPr>
        <w:sectPr>
          <w:footerReference r:id="rId6" w:type="default"/>
          <w:pgSz w:w="11907" w:h="16840"/>
          <w:pgMar w:top="1440" w:right="1797" w:bottom="1440" w:left="1797" w:header="851" w:footer="992" w:gutter="0"/>
          <w:pgNumType w:start="1"/>
          <w:cols w:space="425" w:num="1"/>
          <w:docGrid w:linePitch="312" w:charSpace="0"/>
        </w:sectPr>
      </w:pPr>
      <w:r>
        <w:rPr>
          <w:rFonts w:hint="eastAsia" w:ascii="仿宋_GB2312" w:hAnsi="仿宋_GB2312" w:eastAsia="仿宋_GB2312" w:cs="仿宋"/>
        </w:rPr>
        <w:t>注：采购人如有未尽事宜可在此处进行补充，但不得违反政府采购法律法规规章制度的规定。</w:t>
      </w:r>
      <w:bookmarkStart w:id="56" w:name="_Toc509579144"/>
    </w:p>
    <w:bookmarkEnd w:id="46"/>
    <w:bookmarkEnd w:id="47"/>
    <w:bookmarkEnd w:id="48"/>
    <w:bookmarkEnd w:id="49"/>
    <w:bookmarkEnd w:id="50"/>
    <w:bookmarkEnd w:id="56"/>
    <w:p w14:paraId="0B190DC2">
      <w:pPr>
        <w:pStyle w:val="18"/>
        <w:rPr>
          <w:rFonts w:ascii="仿宋_GB2312" w:hAnsi="仿宋_GB2312" w:eastAsia="仿宋_GB2312" w:cs="Times New Roman"/>
        </w:rPr>
      </w:pPr>
      <w:bookmarkStart w:id="57" w:name="_Toc20405"/>
      <w:bookmarkStart w:id="58" w:name="_Toc217446057"/>
      <w:bookmarkStart w:id="59" w:name="_Toc183682369"/>
      <w:bookmarkStart w:id="60" w:name="_Toc183582232"/>
      <w:r>
        <w:rPr>
          <w:rFonts w:hint="eastAsia" w:ascii="仿宋_GB2312" w:hAnsi="仿宋_GB2312" w:eastAsia="仿宋_GB2312" w:cs="仿宋"/>
        </w:rPr>
        <w:t xml:space="preserve">第三章 </w:t>
      </w:r>
      <w:r>
        <w:rPr>
          <w:rFonts w:hint="eastAsia" w:ascii="仿宋_GB2312" w:hAnsi="仿宋_GB2312" w:eastAsia="仿宋_GB2312" w:cs="仿宋"/>
          <w:lang w:eastAsia="zh-CN"/>
        </w:rPr>
        <w:t>采购项目技术服务、商务及其他要求</w:t>
      </w:r>
    </w:p>
    <w:p w14:paraId="3084575B"/>
    <w:p w14:paraId="6F157BEF">
      <w:pPr>
        <w:spacing w:line="360" w:lineRule="auto"/>
        <w:ind w:firstLine="480" w:firstLineChars="200"/>
        <w:rPr>
          <w:rFonts w:hint="eastAsia" w:ascii="黑体" w:hAnsi="黑体" w:eastAsia="黑体" w:cs="黑体"/>
        </w:rPr>
      </w:pPr>
      <w:r>
        <w:rPr>
          <w:rFonts w:hint="eastAsia" w:ascii="黑体" w:hAnsi="黑体" w:eastAsia="黑体" w:cs="黑体"/>
        </w:rPr>
        <w:t>一、项目概况</w:t>
      </w:r>
    </w:p>
    <w:p w14:paraId="3C729904">
      <w:pPr>
        <w:spacing w:line="360" w:lineRule="auto"/>
        <w:ind w:firstLine="480" w:firstLineChars="200"/>
        <w:rPr>
          <w:rFonts w:hint="eastAsia" w:ascii="仿宋_GB2312" w:hAnsi="仿宋_GB2312" w:eastAsia="仿宋_GB2312" w:cs="仿宋"/>
        </w:rPr>
      </w:pPr>
      <w:bookmarkStart w:id="61" w:name="_Hlk89359809"/>
      <w:r>
        <w:rPr>
          <w:rFonts w:hint="eastAsia" w:ascii="仿宋_GB2312" w:hAnsi="仿宋_GB2312" w:eastAsia="仿宋_GB2312" w:cs="仿宋"/>
        </w:rPr>
        <w:t>本次采购内容为伟澈（重庆）商贸有限公司诉巴中市秦巴田园农业发展有限公司买卖合同纠纷及巴中市秦巴田园农业发展有限公司贸易业务疑似涉嫌被诈骗系列案件专项法律服务采购（以下简称“本项目”）；供应商需为巴中市秦巴田园农业发展有限公司提供法律意见、代理诉讼以及其他涉法事务服务直至专项事务处理完毕结束。</w:t>
      </w:r>
    </w:p>
    <w:bookmarkEnd w:id="61"/>
    <w:p w14:paraId="10CBA346">
      <w:pPr>
        <w:spacing w:line="360" w:lineRule="auto"/>
        <w:ind w:firstLine="480" w:firstLineChars="200"/>
        <w:rPr>
          <w:rFonts w:hint="eastAsia" w:ascii="黑体" w:hAnsi="黑体" w:eastAsia="黑体" w:cs="黑体"/>
        </w:rPr>
      </w:pPr>
      <w:r>
        <w:rPr>
          <w:rFonts w:hint="eastAsia" w:ascii="黑体" w:hAnsi="黑体" w:eastAsia="黑体" w:cs="黑体"/>
        </w:rPr>
        <w:t>二、项目要求</w:t>
      </w:r>
    </w:p>
    <w:p w14:paraId="513E269F">
      <w:pPr>
        <w:spacing w:line="360" w:lineRule="auto"/>
        <w:ind w:firstLine="482" w:firstLineChars="200"/>
        <w:rPr>
          <w:rFonts w:hint="eastAsia" w:ascii="楷体_GB2312" w:hAnsi="楷体_GB2312" w:eastAsia="楷体_GB2312" w:cs="楷体_GB2312"/>
          <w:b/>
          <w:bCs/>
        </w:rPr>
      </w:pPr>
      <w:r>
        <w:rPr>
          <w:rFonts w:hint="eastAsia" w:ascii="楷体_GB2312" w:hAnsi="楷体_GB2312" w:eastAsia="楷体_GB2312" w:cs="楷体_GB2312"/>
          <w:b/>
          <w:bCs/>
        </w:rPr>
        <w:t>★（一）服务内容</w:t>
      </w:r>
    </w:p>
    <w:p w14:paraId="43FA0507">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1.就采购人本项目的相关法律问题提供咨询意见或进行法律帮助；</w:t>
      </w:r>
    </w:p>
    <w:p w14:paraId="14B9D95F">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2.根据采购人要求，草拟、审查、修改城市管理类合同或其它法律文书，维护采购人合法权益；</w:t>
      </w:r>
    </w:p>
    <w:p w14:paraId="06C0A226">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3.接受采购人委托，就采购人本项目发生的纠纷，进行法律论证、提出解决方案、提供法律意见书、出具律师函、发表律师授权声明书等；</w:t>
      </w:r>
    </w:p>
    <w:p w14:paraId="7066B8A4">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4.对采购人涉及本项目重大利益事项的磋商、谈判等，提供法律分析、论证及建议，协助采购人制定工作方案，并制作与事项相关的法律文件；</w:t>
      </w:r>
    </w:p>
    <w:p w14:paraId="7391C593">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5.受采购人委托，见证采购人的重大法律行为或法律文件；</w:t>
      </w:r>
    </w:p>
    <w:p w14:paraId="506F13D1">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6.接受采购人委托，签署、送达或者接受法律文件；</w:t>
      </w:r>
    </w:p>
    <w:p w14:paraId="3B7E0171">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7.接受采购人委托，对有关本项目进行资信或可行性调查，并出具调查报告；</w:t>
      </w:r>
    </w:p>
    <w:p w14:paraId="6AF05D61">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8.接受采购人委托，代理本项目事务诉讼、仲裁、调解、行政听证、非诉执行、行政复议等活动；</w:t>
      </w:r>
    </w:p>
    <w:p w14:paraId="1312FF96">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9.为采购人提供其</w:t>
      </w:r>
      <w:r>
        <w:rPr>
          <w:rFonts w:hint="eastAsia" w:ascii="仿宋_GB2312" w:hAnsi="仿宋_GB2312" w:eastAsia="仿宋_GB2312" w:cs="仿宋"/>
          <w:lang w:eastAsia="zh-CN"/>
        </w:rPr>
        <w:t>他</w:t>
      </w:r>
      <w:r>
        <w:rPr>
          <w:rFonts w:hint="eastAsia" w:ascii="仿宋_GB2312" w:hAnsi="仿宋_GB2312" w:eastAsia="仿宋_GB2312" w:cs="仿宋"/>
        </w:rPr>
        <w:t>法律服务。</w:t>
      </w:r>
    </w:p>
    <w:p w14:paraId="622072E7">
      <w:pPr>
        <w:spacing w:line="360" w:lineRule="auto"/>
        <w:ind w:firstLine="482" w:firstLineChars="200"/>
        <w:rPr>
          <w:rFonts w:hint="eastAsia" w:ascii="楷体_GB2312" w:hAnsi="楷体_GB2312" w:eastAsia="楷体_GB2312" w:cs="楷体_GB2312"/>
          <w:b/>
          <w:bCs/>
        </w:rPr>
      </w:pPr>
      <w:r>
        <w:rPr>
          <w:rFonts w:hint="eastAsia" w:ascii="楷体_GB2312" w:hAnsi="楷体_GB2312" w:eastAsia="楷体_GB2312" w:cs="楷体_GB2312"/>
          <w:b/>
          <w:bCs/>
        </w:rPr>
        <w:t>★（二）服务要求</w:t>
      </w:r>
    </w:p>
    <w:p w14:paraId="1DADE4AC">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1</w:t>
      </w:r>
      <w:r>
        <w:rPr>
          <w:rFonts w:hint="eastAsia" w:ascii="仿宋_GB2312" w:hAnsi="仿宋_GB2312" w:eastAsia="仿宋_GB2312" w:cs="仿宋"/>
          <w:lang w:val="en-US" w:eastAsia="zh-CN"/>
        </w:rPr>
        <w:t>.</w:t>
      </w:r>
      <w:r>
        <w:rPr>
          <w:rFonts w:hint="eastAsia" w:ascii="仿宋_GB2312" w:hAnsi="仿宋_GB2312" w:eastAsia="仿宋_GB2312" w:cs="仿宋"/>
        </w:rPr>
        <w:t>供应商应对所出具的成果（包含但不限于意见、结论）负责。</w:t>
      </w:r>
    </w:p>
    <w:p w14:paraId="2E069775">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w:t>
      </w:r>
      <w:r>
        <w:rPr>
          <w:rFonts w:hint="eastAsia" w:ascii="仿宋_GB2312" w:hAnsi="仿宋_GB2312" w:eastAsia="仿宋_GB2312" w:cs="仿宋"/>
          <w:lang w:val="en-US" w:eastAsia="zh-CN"/>
        </w:rPr>
        <w:t>.</w:t>
      </w:r>
      <w:r>
        <w:rPr>
          <w:rFonts w:hint="eastAsia" w:ascii="仿宋_GB2312" w:hAnsi="仿宋_GB2312" w:eastAsia="仿宋_GB2312" w:cs="仿宋"/>
        </w:rPr>
        <w:t>供应商对于采购人关于本项目临时的紧急法律咨询问题，供应商应在1个小时内做出口头或书面答复；对于采购人各部门的合同、文书、函件等，供应商应在3天内出具审查意见书。</w:t>
      </w:r>
    </w:p>
    <w:p w14:paraId="1623F3FE">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3</w:t>
      </w:r>
      <w:r>
        <w:rPr>
          <w:rFonts w:hint="eastAsia" w:ascii="仿宋_GB2312" w:hAnsi="仿宋_GB2312" w:eastAsia="仿宋_GB2312" w:cs="仿宋"/>
          <w:lang w:val="en-US" w:eastAsia="zh-CN"/>
        </w:rPr>
        <w:t>.</w:t>
      </w:r>
      <w:r>
        <w:rPr>
          <w:rFonts w:hint="eastAsia" w:ascii="仿宋_GB2312" w:hAnsi="仿宋_GB2312" w:eastAsia="仿宋_GB2312" w:cs="仿宋"/>
        </w:rPr>
        <w:t>经采购人认定的重大、疑难、复杂的法律事务，供应商投入本项目的服务团队全体成员应集体研究、讨论，并利用供应商及其分支机构全部资源力量，充分发挥集体智慧，力求制定最佳的处理方案，在5日内以书面形式向采购人答复。</w:t>
      </w:r>
    </w:p>
    <w:p w14:paraId="618200D3">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w:t>
      </w:r>
      <w:r>
        <w:rPr>
          <w:rFonts w:hint="eastAsia" w:ascii="仿宋_GB2312" w:hAnsi="仿宋_GB2312" w:eastAsia="仿宋_GB2312" w:cs="仿宋"/>
          <w:lang w:val="en-US" w:eastAsia="zh-CN"/>
        </w:rPr>
        <w:t>.</w:t>
      </w:r>
      <w:r>
        <w:rPr>
          <w:rFonts w:hint="eastAsia" w:ascii="仿宋_GB2312" w:hAnsi="仿宋_GB2312" w:eastAsia="仿宋_GB2312" w:cs="仿宋"/>
        </w:rPr>
        <w:t>供应商指派律师开展法律服务工作，应当严格依照法律、法规及采购合同的有关规定，积极维护采购人的合法权益，向采购人提供的法律意见须符合法律、法规的规定要求。</w:t>
      </w:r>
    </w:p>
    <w:p w14:paraId="7A5D4F2F">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5</w:t>
      </w:r>
      <w:r>
        <w:rPr>
          <w:rFonts w:hint="eastAsia" w:ascii="仿宋_GB2312" w:hAnsi="仿宋_GB2312" w:eastAsia="仿宋_GB2312" w:cs="仿宋"/>
          <w:lang w:val="en-US" w:eastAsia="zh-CN"/>
        </w:rPr>
        <w:t>.</w:t>
      </w:r>
      <w:r>
        <w:rPr>
          <w:rFonts w:hint="eastAsia" w:ascii="仿宋_GB2312" w:hAnsi="仿宋_GB2312" w:eastAsia="仿宋_GB2312" w:cs="仿宋"/>
        </w:rPr>
        <w:t>供应商指派律师向采购人提供的各项法律意见或法律文书应当清晰、明确全面，保证其法律上的准确性，不得曲解法律规定的本意，或者有意向采购人隐瞒法律上既已存在的风险。</w:t>
      </w:r>
    </w:p>
    <w:p w14:paraId="2447B7F6">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6</w:t>
      </w:r>
      <w:r>
        <w:rPr>
          <w:rFonts w:hint="eastAsia" w:ascii="仿宋_GB2312" w:hAnsi="仿宋_GB2312" w:eastAsia="仿宋_GB2312" w:cs="仿宋"/>
          <w:lang w:val="en-US" w:eastAsia="zh-CN"/>
        </w:rPr>
        <w:t>.</w:t>
      </w:r>
      <w:r>
        <w:rPr>
          <w:rFonts w:hint="eastAsia" w:ascii="仿宋_GB2312" w:hAnsi="仿宋_GB2312" w:eastAsia="仿宋_GB2312" w:cs="仿宋"/>
        </w:rPr>
        <w:t>供应商指派律师在本项目法律服务工作中应当勤勉尽职，恪守律师职业道德和执业纪律，按照本行业公认的服务标准和服务规范，努力提高法律服务水平，保证服务质量。</w:t>
      </w:r>
    </w:p>
    <w:p w14:paraId="03FA29DC">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w:t>
      </w:r>
      <w:r>
        <w:rPr>
          <w:rFonts w:hint="eastAsia" w:ascii="仿宋_GB2312" w:hAnsi="仿宋_GB2312" w:eastAsia="仿宋_GB2312" w:cs="仿宋"/>
          <w:lang w:val="en-US" w:eastAsia="zh-CN"/>
        </w:rPr>
        <w:t>.</w:t>
      </w:r>
      <w:r>
        <w:rPr>
          <w:rFonts w:hint="eastAsia" w:ascii="仿宋_GB2312" w:hAnsi="仿宋_GB2312" w:eastAsia="仿宋_GB2312" w:cs="仿宋"/>
        </w:rPr>
        <w:t>供应商需搜集、整理采购人本项目的</w:t>
      </w:r>
      <w:r>
        <w:rPr>
          <w:rFonts w:hint="eastAsia" w:ascii="仿宋_GB2312" w:hAnsi="仿宋_GB2312" w:eastAsia="仿宋_GB2312" w:cs="仿宋"/>
          <w:lang w:val="en-US" w:eastAsia="zh-CN"/>
        </w:rPr>
        <w:t>相关</w:t>
      </w:r>
      <w:r>
        <w:rPr>
          <w:rFonts w:hint="eastAsia" w:ascii="仿宋_GB2312" w:hAnsi="仿宋_GB2312" w:eastAsia="仿宋_GB2312" w:cs="仿宋"/>
        </w:rPr>
        <w:t>案件，根据案件实际情况及采购人的实际需要进行指导，提出工作改进建议。</w:t>
      </w:r>
    </w:p>
    <w:p w14:paraId="1D8A0846">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w:t>
      </w:r>
      <w:r>
        <w:rPr>
          <w:rFonts w:hint="eastAsia" w:ascii="仿宋_GB2312" w:hAnsi="仿宋_GB2312" w:eastAsia="仿宋_GB2312" w:cs="仿宋"/>
          <w:lang w:val="en-US" w:eastAsia="zh-CN"/>
        </w:rPr>
        <w:t>.</w:t>
      </w:r>
      <w:r>
        <w:rPr>
          <w:rFonts w:hint="eastAsia" w:ascii="仿宋_GB2312" w:hAnsi="仿宋_GB2312" w:eastAsia="仿宋_GB2312" w:cs="仿宋"/>
        </w:rPr>
        <w:t>项目服务期内，除采购人认可发布的信息外，采购人及供应商对其获知的所有信息、资料、商业秘密或国家秘密（包含但不仅限于采购人与供应商的往来文件、书面文字、电子邮件、供应商自行收集的资料或采购人提供的资料等）负有保密义务，未经采购人同意，供应商不得以任何形式向第三者透露信息资料，否则采购人有权追究其法律责任。</w:t>
      </w:r>
    </w:p>
    <w:p w14:paraId="318E19DD">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w:t>
      </w:r>
      <w:r>
        <w:rPr>
          <w:rFonts w:hint="eastAsia" w:ascii="仿宋_GB2312" w:hAnsi="仿宋_GB2312" w:eastAsia="仿宋_GB2312" w:cs="仿宋"/>
          <w:lang w:val="en-US" w:eastAsia="zh-CN"/>
        </w:rPr>
        <w:t>.</w:t>
      </w:r>
      <w:r>
        <w:rPr>
          <w:rFonts w:hint="eastAsia" w:ascii="仿宋_GB2312" w:hAnsi="仿宋_GB2312" w:eastAsia="仿宋_GB2312" w:cs="仿宋"/>
        </w:rPr>
        <w:t>采购人根据工作需要，可随时通知成交供应商指派律师到场或电话提供法律服务。</w:t>
      </w:r>
    </w:p>
    <w:p w14:paraId="096C5A8A">
      <w:pPr>
        <w:spacing w:line="360" w:lineRule="auto"/>
        <w:ind w:firstLine="482" w:firstLineChars="200"/>
        <w:rPr>
          <w:rFonts w:hint="eastAsia" w:ascii="楷体_GB2312" w:hAnsi="楷体_GB2312" w:eastAsia="楷体_GB2312" w:cs="楷体_GB2312"/>
          <w:b/>
          <w:bCs/>
        </w:rPr>
      </w:pPr>
      <w:r>
        <w:rPr>
          <w:rFonts w:hint="eastAsia" w:ascii="楷体_GB2312" w:hAnsi="楷体_GB2312" w:eastAsia="楷体_GB2312" w:cs="楷体_GB2312"/>
          <w:b/>
          <w:bCs/>
        </w:rPr>
        <w:t>（三）人员配置要求</w:t>
      </w:r>
    </w:p>
    <w:p w14:paraId="5D424166">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1</w:t>
      </w:r>
      <w:r>
        <w:rPr>
          <w:rFonts w:hint="eastAsia" w:ascii="仿宋_GB2312" w:hAnsi="仿宋_GB2312" w:eastAsia="仿宋_GB2312" w:cs="仿宋"/>
          <w:lang w:val="en-US" w:eastAsia="zh-CN"/>
        </w:rPr>
        <w:t>.</w:t>
      </w:r>
      <w:r>
        <w:rPr>
          <w:rFonts w:hint="eastAsia" w:ascii="仿宋_GB2312" w:hAnsi="仿宋_GB2312" w:eastAsia="仿宋_GB2312" w:cs="仿宋"/>
        </w:rPr>
        <w:t>供应商应为本项目设置专业的服务团队不少于5人，包含1名项目负责人，至少 4 名法律咨询专员；每起诉讼案件承办律师配置人数应不低于2人。</w:t>
      </w:r>
    </w:p>
    <w:p w14:paraId="21C81A33">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w:t>
      </w:r>
      <w:r>
        <w:rPr>
          <w:rFonts w:hint="eastAsia" w:ascii="仿宋_GB2312" w:hAnsi="仿宋_GB2312" w:eastAsia="仿宋_GB2312" w:cs="仿宋"/>
          <w:lang w:val="en-US" w:eastAsia="zh-CN"/>
        </w:rPr>
        <w:t>.</w:t>
      </w:r>
      <w:r>
        <w:rPr>
          <w:rFonts w:hint="eastAsia" w:ascii="仿宋_GB2312" w:hAnsi="仿宋_GB2312" w:eastAsia="仿宋_GB2312" w:cs="仿宋"/>
        </w:rPr>
        <w:t>服务团队成员应具有良好的职业道德和职业素质，具有良好的沟通协调能力和敬业精神，近三年均未违反职业道德，没有违法违纪执业行为，团队成员未经采购人同意，不随意更换。</w:t>
      </w:r>
    </w:p>
    <w:p w14:paraId="0A4F09EB">
      <w:pPr>
        <w:spacing w:line="360" w:lineRule="auto"/>
        <w:ind w:firstLine="480" w:firstLineChars="200"/>
        <w:rPr>
          <w:rFonts w:hint="eastAsia" w:ascii="黑体" w:hAnsi="黑体" w:eastAsia="黑体" w:cs="黑体"/>
        </w:rPr>
      </w:pPr>
      <w:r>
        <w:rPr>
          <w:rFonts w:hint="eastAsia" w:ascii="黑体" w:hAnsi="黑体" w:eastAsia="黑体" w:cs="黑体"/>
        </w:rPr>
        <w:t>★三、商务要求</w:t>
      </w:r>
    </w:p>
    <w:p w14:paraId="31225E3F">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1</w:t>
      </w:r>
      <w:r>
        <w:rPr>
          <w:rFonts w:hint="eastAsia" w:ascii="仿宋_GB2312" w:hAnsi="仿宋_GB2312" w:eastAsia="仿宋_GB2312" w:cs="仿宋"/>
          <w:lang w:val="en-US" w:eastAsia="zh-CN"/>
        </w:rPr>
        <w:t>.</w:t>
      </w:r>
      <w:r>
        <w:rPr>
          <w:rFonts w:hint="eastAsia" w:ascii="仿宋_GB2312" w:hAnsi="仿宋_GB2312" w:eastAsia="仿宋_GB2312" w:cs="仿宋"/>
        </w:rPr>
        <w:t>服务期限：直至本项目的专项事务处理完毕结束。</w:t>
      </w:r>
    </w:p>
    <w:p w14:paraId="758B5E7D">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w:t>
      </w:r>
      <w:r>
        <w:rPr>
          <w:rFonts w:hint="eastAsia" w:ascii="仿宋_GB2312" w:hAnsi="仿宋_GB2312" w:eastAsia="仿宋_GB2312" w:cs="仿宋"/>
          <w:lang w:val="en-US" w:eastAsia="zh-CN"/>
        </w:rPr>
        <w:t>.</w:t>
      </w:r>
      <w:r>
        <w:rPr>
          <w:rFonts w:hint="eastAsia" w:ascii="仿宋_GB2312" w:hAnsi="仿宋_GB2312" w:eastAsia="仿宋_GB2312" w:cs="仿宋"/>
        </w:rPr>
        <w:t>服务地点：采购人指定地点。</w:t>
      </w:r>
    </w:p>
    <w:p w14:paraId="236CADD3">
      <w:pPr>
        <w:spacing w:line="360" w:lineRule="auto"/>
        <w:ind w:firstLine="480" w:firstLineChars="200"/>
        <w:rPr>
          <w:rFonts w:hint="eastAsia" w:ascii="仿宋_GB2312" w:hAnsi="仿宋_GB2312" w:eastAsia="仿宋_GB2312" w:cs="仿宋"/>
          <w:color w:val="FF0000"/>
        </w:rPr>
      </w:pPr>
      <w:r>
        <w:rPr>
          <w:rFonts w:hint="eastAsia" w:ascii="仿宋_GB2312" w:hAnsi="仿宋_GB2312" w:eastAsia="仿宋_GB2312" w:cs="仿宋"/>
        </w:rPr>
        <w:t>3</w:t>
      </w:r>
      <w:r>
        <w:rPr>
          <w:rFonts w:hint="eastAsia" w:ascii="仿宋_GB2312" w:hAnsi="仿宋_GB2312" w:eastAsia="仿宋_GB2312" w:cs="仿宋"/>
          <w:lang w:val="en-US" w:eastAsia="zh-CN"/>
        </w:rPr>
        <w:t>.</w:t>
      </w:r>
      <w:r>
        <w:rPr>
          <w:rFonts w:hint="eastAsia" w:ascii="仿宋_GB2312" w:hAnsi="仿宋_GB2312" w:eastAsia="仿宋_GB2312" w:cs="仿宋"/>
        </w:rPr>
        <w:t>付款方式和要求：本合同签订后10个工作日内支付</w:t>
      </w:r>
      <w:r>
        <w:rPr>
          <w:rFonts w:hint="eastAsia" w:ascii="仿宋_GB2312" w:hAnsi="仿宋_GB2312" w:eastAsia="仿宋_GB2312" w:cs="仿宋"/>
          <w:lang w:val="en-US" w:eastAsia="zh-CN"/>
        </w:rPr>
        <w:t>百分之三十的</w:t>
      </w:r>
      <w:r>
        <w:rPr>
          <w:rFonts w:hint="eastAsia" w:ascii="仿宋_GB2312" w:hAnsi="仿宋_GB2312" w:eastAsia="仿宋_GB2312" w:cs="仿宋"/>
        </w:rPr>
        <w:t>服务费，在专项事务处理完毕后10个工作日内支付</w:t>
      </w:r>
      <w:r>
        <w:rPr>
          <w:rFonts w:hint="eastAsia" w:ascii="仿宋_GB2312" w:hAnsi="仿宋_GB2312" w:eastAsia="仿宋_GB2312" w:cs="仿宋"/>
          <w:lang w:val="en-US" w:eastAsia="zh-CN"/>
        </w:rPr>
        <w:t>下余</w:t>
      </w:r>
      <w:r>
        <w:rPr>
          <w:rFonts w:hint="eastAsia" w:ascii="仿宋_GB2312" w:hAnsi="仿宋_GB2312" w:eastAsia="仿宋_GB2312" w:cs="仿宋"/>
        </w:rPr>
        <w:t>服务费。</w:t>
      </w:r>
    </w:p>
    <w:p w14:paraId="72DD5209">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w:t>
      </w:r>
      <w:r>
        <w:rPr>
          <w:rFonts w:hint="eastAsia" w:ascii="仿宋_GB2312" w:hAnsi="仿宋_GB2312" w:eastAsia="仿宋_GB2312" w:cs="仿宋"/>
          <w:lang w:val="en-US" w:eastAsia="zh-CN"/>
        </w:rPr>
        <w:t>.</w:t>
      </w:r>
      <w:r>
        <w:rPr>
          <w:rFonts w:hint="eastAsia" w:ascii="仿宋_GB2312" w:hAnsi="仿宋_GB2312" w:eastAsia="仿宋_GB2312" w:cs="仿宋"/>
        </w:rPr>
        <w:t>验收要求</w:t>
      </w:r>
    </w:p>
    <w:p w14:paraId="6417F005">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4.1 验收主体：采购人。</w:t>
      </w:r>
    </w:p>
    <w:p w14:paraId="4B754E6E">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4.2 验收时间：供应商提出验收申请之日起 10 日内组织验收。</w:t>
      </w:r>
    </w:p>
    <w:p w14:paraId="3DA19771">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4.3 验收标准和方式：成交人与采购人应严格按照《财政部关于进一步加强政府采购需求和履约验收管理的指导意见》（财库〔2016〕205 号）、行业标准及磋商文件相关要求进行验收。</w:t>
      </w:r>
    </w:p>
    <w:p w14:paraId="663018C7">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5</w:t>
      </w:r>
      <w:r>
        <w:rPr>
          <w:rFonts w:hint="eastAsia" w:ascii="仿宋_GB2312" w:hAnsi="仿宋_GB2312" w:eastAsia="仿宋_GB2312" w:cs="仿宋"/>
          <w:lang w:val="en-US" w:eastAsia="zh-CN"/>
        </w:rPr>
        <w:t>.</w:t>
      </w:r>
      <w:r>
        <w:rPr>
          <w:rFonts w:hint="eastAsia" w:ascii="仿宋_GB2312" w:hAnsi="仿宋_GB2312" w:eastAsia="仿宋_GB2312" w:cs="仿宋"/>
        </w:rPr>
        <w:t>执行标准：供应商提供的服务应满足国家相关标准、行业标准、地方标准、其他标准、规范及采购人要求。</w:t>
      </w:r>
    </w:p>
    <w:p w14:paraId="363F8A92">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6</w:t>
      </w:r>
      <w:r>
        <w:rPr>
          <w:rFonts w:hint="eastAsia" w:ascii="仿宋_GB2312" w:hAnsi="仿宋_GB2312" w:eastAsia="仿宋_GB2312" w:cs="仿宋"/>
          <w:lang w:val="en-US" w:eastAsia="zh-CN"/>
        </w:rPr>
        <w:t>.</w:t>
      </w:r>
      <w:r>
        <w:rPr>
          <w:rFonts w:hint="eastAsia" w:ascii="仿宋_GB2312" w:hAnsi="仿宋_GB2312" w:eastAsia="仿宋_GB2312" w:cs="仿宋"/>
        </w:rPr>
        <w:t>报价要求</w:t>
      </w:r>
    </w:p>
    <w:p w14:paraId="444AC521">
      <w:pPr>
        <w:spacing w:line="360" w:lineRule="auto"/>
        <w:ind w:left="480" w:leftChars="200" w:firstLine="0" w:firstLineChars="0"/>
        <w:rPr>
          <w:rFonts w:hint="eastAsia" w:ascii="仿宋_GB2312" w:hAnsi="仿宋_GB2312" w:eastAsia="仿宋_GB2312" w:cs="仿宋"/>
          <w:lang w:eastAsia="zh-CN"/>
        </w:rPr>
      </w:pPr>
      <w:r>
        <w:rPr>
          <w:rFonts w:hint="eastAsia" w:ascii="仿宋_GB2312" w:hAnsi="仿宋_GB2312" w:eastAsia="仿宋_GB2312" w:cs="仿宋"/>
        </w:rPr>
        <w:t>6.1 最高限价：</w:t>
      </w:r>
      <w:r>
        <w:rPr>
          <w:rFonts w:hint="eastAsia" w:ascii="仿宋_GB2312" w:hAnsi="仿宋_GB2312" w:eastAsia="仿宋_GB2312" w:cs="仿宋"/>
          <w:lang w:val="en-US" w:eastAsia="zh-CN"/>
        </w:rPr>
        <w:t>本项目</w:t>
      </w:r>
      <w:r>
        <w:rPr>
          <w:rFonts w:hint="eastAsia" w:ascii="仿宋_GB2312" w:hAnsi="仿宋_GB2312" w:eastAsia="仿宋_GB2312" w:cs="仿宋"/>
        </w:rPr>
        <w:t>法律顾问费不超过2</w:t>
      </w:r>
      <w:r>
        <w:rPr>
          <w:rFonts w:hint="eastAsia" w:ascii="仿宋_GB2312" w:hAnsi="仿宋_GB2312" w:eastAsia="仿宋_GB2312" w:cs="仿宋"/>
          <w:lang w:val="en-US" w:eastAsia="zh-CN"/>
        </w:rPr>
        <w:t>1</w:t>
      </w:r>
      <w:r>
        <w:rPr>
          <w:rFonts w:hint="eastAsia" w:ascii="仿宋_GB2312" w:hAnsi="仿宋_GB2312" w:eastAsia="仿宋_GB2312" w:cs="仿宋"/>
        </w:rPr>
        <w:t>0000元</w:t>
      </w:r>
      <w:r>
        <w:rPr>
          <w:rFonts w:hint="eastAsia" w:ascii="仿宋_GB2312" w:hAnsi="仿宋_GB2312" w:eastAsia="仿宋_GB2312" w:cs="仿宋"/>
          <w:lang w:eastAsia="zh-CN"/>
        </w:rPr>
        <w:t>。</w:t>
      </w:r>
    </w:p>
    <w:p w14:paraId="715B6596">
      <w:pPr>
        <w:spacing w:line="360" w:lineRule="auto"/>
        <w:ind w:left="480" w:leftChars="200" w:firstLine="0" w:firstLineChars="0"/>
        <w:rPr>
          <w:rFonts w:hint="eastAsia" w:ascii="仿宋_GB2312" w:hAnsi="仿宋_GB2312" w:eastAsia="仿宋_GB2312" w:cs="仿宋"/>
        </w:rPr>
      </w:pPr>
      <w:r>
        <w:rPr>
          <w:rFonts w:hint="eastAsia" w:ascii="仿宋_GB2312" w:hAnsi="仿宋_GB2312" w:eastAsia="仿宋_GB2312" w:cs="仿宋"/>
        </w:rPr>
        <w:t>7</w:t>
      </w:r>
      <w:r>
        <w:rPr>
          <w:rFonts w:hint="eastAsia" w:ascii="仿宋_GB2312" w:hAnsi="仿宋_GB2312" w:eastAsia="仿宋_GB2312" w:cs="仿宋"/>
          <w:lang w:val="en-US" w:eastAsia="zh-CN"/>
        </w:rPr>
        <w:t>.</w:t>
      </w:r>
      <w:r>
        <w:rPr>
          <w:rFonts w:hint="eastAsia" w:ascii="仿宋_GB2312" w:hAnsi="仿宋_GB2312" w:eastAsia="仿宋_GB2312" w:cs="仿宋"/>
        </w:rPr>
        <w:t>违约责任</w:t>
      </w:r>
    </w:p>
    <w:p w14:paraId="6F86ECFE">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7.1采购人及供应商双方必须遵守采购合同并执行合同中的各项规定，保证采购合同的正常履行。任何一方违约给对方造成的直接损失均负有赔偿责任，对方均有权视情况要求对方继续履行合同或提出解除合同。</w:t>
      </w:r>
    </w:p>
    <w:p w14:paraId="334C1495">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7.2如因供应商在履行过程中的疏忽、失职、过错等故意或者过失原因给采购人造成损失或侵害，包括但不限于采购人本身的财产损失、由此而导致的采购人对任何第三方的法律责任等，供应商对此均应承担全部的赔偿责任。</w:t>
      </w:r>
    </w:p>
    <w:p w14:paraId="047C9510">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7.3如供应商提交的成果达不到相关质量要求或未按采购人时间进度安排完成成果，采购人有权扣除合同支付金额和提出解除合同。</w:t>
      </w:r>
    </w:p>
    <w:p w14:paraId="443826F7">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w:t>
      </w:r>
      <w:r>
        <w:rPr>
          <w:rFonts w:hint="eastAsia" w:ascii="仿宋_GB2312" w:hAnsi="仿宋_GB2312" w:eastAsia="仿宋_GB2312" w:cs="仿宋"/>
          <w:lang w:val="en-US" w:eastAsia="zh-CN"/>
        </w:rPr>
        <w:t>.</w:t>
      </w:r>
      <w:r>
        <w:rPr>
          <w:rFonts w:hint="eastAsia" w:ascii="仿宋_GB2312" w:hAnsi="仿宋_GB2312" w:eastAsia="仿宋_GB2312" w:cs="仿宋"/>
        </w:rPr>
        <w:t>争议解决办法</w:t>
      </w:r>
    </w:p>
    <w:p w14:paraId="70724B55">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8.1采购人及供应商双方就采购合同所产生的任何争议都应该进行友好协商，协商解决不成的，任何一方均可向项目所在地仲裁委员会申请仲裁。</w:t>
      </w:r>
    </w:p>
    <w:p w14:paraId="7D68233C">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8.2仲裁费应由败诉方承担。</w:t>
      </w:r>
    </w:p>
    <w:p w14:paraId="0EFD913E">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8.3在仲裁期间，除正在进行仲裁的部分外，合同其他部分继续执行。</w:t>
      </w:r>
    </w:p>
    <w:p w14:paraId="4A7C6ACC">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w:t>
      </w:r>
      <w:r>
        <w:rPr>
          <w:rFonts w:hint="eastAsia" w:ascii="仿宋_GB2312" w:hAnsi="仿宋_GB2312" w:eastAsia="仿宋_GB2312" w:cs="仿宋"/>
          <w:lang w:val="en-US" w:eastAsia="zh-CN"/>
        </w:rPr>
        <w:t>.</w:t>
      </w:r>
      <w:r>
        <w:rPr>
          <w:rFonts w:hint="eastAsia" w:ascii="仿宋_GB2312" w:hAnsi="仿宋_GB2312" w:eastAsia="仿宋_GB2312" w:cs="仿宋"/>
        </w:rPr>
        <w:t>其他相关事宜</w:t>
      </w:r>
    </w:p>
    <w:p w14:paraId="6AF11095">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9.1在本采购文件中没有提及的与本项目履约切实相关的事宜，在采购人与成交供应商订立合同时按明细约定或后续补充约定（约定的内容须符合国家相关法律法规的规定）。</w:t>
      </w:r>
    </w:p>
    <w:p w14:paraId="34B6C8CA">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9.2本项目自成交方签订合同之日起至提交全部成果验收合格之日止，成交方将负责该项目实施过程中的人身安全、财产安全、环境安全，因本项目实施过程中造成的相应直接或间接损失，由供应商自行承担。</w:t>
      </w:r>
    </w:p>
    <w:p w14:paraId="3EEE37CA">
      <w:pPr>
        <w:spacing w:line="360" w:lineRule="auto"/>
        <w:ind w:firstLine="482" w:firstLineChars="200"/>
        <w:rPr>
          <w:rFonts w:hint="eastAsia" w:ascii="仿宋_GB2312" w:hAnsi="仿宋_GB2312" w:eastAsia="仿宋_GB2312" w:cs="仿宋"/>
        </w:rPr>
      </w:pPr>
      <w:r>
        <w:rPr>
          <w:rFonts w:hint="eastAsia" w:ascii="仿宋_GB2312" w:hAnsi="仿宋_GB2312" w:eastAsia="仿宋_GB2312" w:cs="仿宋"/>
          <w:b/>
          <w:bCs/>
        </w:rPr>
        <w:t>注：</w:t>
      </w:r>
      <w:r>
        <w:rPr>
          <w:rFonts w:hint="eastAsia" w:ascii="仿宋_GB2312" w:hAnsi="仿宋_GB2312" w:eastAsia="仿宋_GB2312" w:cs="仿宋"/>
        </w:rPr>
        <w:t>1.以上标注有“★”的为本项目的实质性要求，不允许有负偏离，否则其响应文件将作无效处理。</w:t>
      </w:r>
    </w:p>
    <w:p w14:paraId="76EA2F5B">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2.本项目在谈判过程中，谈判小组可以根据谈判文件和谈判情况实质性变动采购需求中的技术、服务、采购合同内容条款，但不得变动谈判文件中的其他内容。实质性变动的内容，须经采购人代表确认。</w:t>
      </w:r>
    </w:p>
    <w:p w14:paraId="38BB3127">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3.对谈判文件作出的实质性变动是谈判文件的有效组成部分，谈判小组应当及时以书面形式同时通知所有参加谈判的供应商。</w:t>
      </w:r>
    </w:p>
    <w:p w14:paraId="236961BD">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供应商应当按照谈判文件的变动情况和谈判小组的要求重新提交响应文件，并由其法定代表人/单位负责人或其授权代表签字或者加盖公章。由授权代表签字的，应当附法定代表人身份证明和法定代表人授权书。供应商为自然人的，应当由本人签字并附身份证明。</w:t>
      </w:r>
    </w:p>
    <w:p w14:paraId="0BF2B4EB">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5.本章的要求不能作为资格性条件要求评审，如存在资格性条件要求，应当认定磋商文件编制存在重大缺陷，谈判小组应当停止评审。</w:t>
      </w:r>
    </w:p>
    <w:p w14:paraId="3A07A96D">
      <w:pPr>
        <w:pStyle w:val="6"/>
        <w:rPr>
          <w:rFonts w:hint="eastAsia" w:ascii="仿宋_GB2312" w:hAnsi="仿宋_GB2312" w:eastAsia="仿宋_GB2312" w:cs="仿宋"/>
        </w:rPr>
      </w:pPr>
    </w:p>
    <w:p w14:paraId="6DB6B0FB">
      <w:pPr>
        <w:pStyle w:val="18"/>
        <w:rPr>
          <w:rFonts w:ascii="仿宋_GB2312" w:hAnsi="仿宋_GB2312" w:eastAsia="仿宋_GB2312" w:cs="Times New Roman"/>
        </w:rPr>
      </w:pPr>
    </w:p>
    <w:p w14:paraId="1E507B2C">
      <w:pPr>
        <w:rPr>
          <w:rFonts w:ascii="仿宋_GB2312" w:hAnsi="仿宋_GB2312" w:eastAsia="仿宋_GB2312" w:cs="Times New Roman"/>
        </w:rPr>
      </w:pPr>
    </w:p>
    <w:p w14:paraId="0889575C">
      <w:pPr>
        <w:pStyle w:val="6"/>
        <w:rPr>
          <w:rFonts w:ascii="仿宋_GB2312" w:hAnsi="仿宋_GB2312" w:eastAsia="仿宋_GB2312" w:cs="Times New Roman"/>
        </w:rPr>
      </w:pPr>
    </w:p>
    <w:p w14:paraId="51EFD839">
      <w:pPr>
        <w:rPr>
          <w:rFonts w:ascii="仿宋_GB2312" w:hAnsi="仿宋_GB2312" w:eastAsia="仿宋_GB2312" w:cs="Times New Roman"/>
        </w:rPr>
      </w:pPr>
    </w:p>
    <w:p w14:paraId="00BBCE4D">
      <w:pPr>
        <w:pStyle w:val="6"/>
        <w:rPr>
          <w:rFonts w:ascii="仿宋_GB2312" w:hAnsi="仿宋_GB2312" w:eastAsia="仿宋_GB2312" w:cs="Times New Roman"/>
        </w:rPr>
      </w:pPr>
    </w:p>
    <w:p w14:paraId="137AA856">
      <w:pPr>
        <w:rPr>
          <w:rFonts w:ascii="仿宋_GB2312" w:hAnsi="仿宋_GB2312" w:eastAsia="仿宋_GB2312" w:cs="Times New Roman"/>
        </w:rPr>
      </w:pPr>
    </w:p>
    <w:p w14:paraId="502BE12D">
      <w:pPr>
        <w:pStyle w:val="6"/>
        <w:rPr>
          <w:rFonts w:ascii="仿宋_GB2312" w:hAnsi="仿宋_GB2312" w:eastAsia="仿宋_GB2312" w:cs="Times New Roman"/>
        </w:rPr>
      </w:pPr>
    </w:p>
    <w:p w14:paraId="5874BC90">
      <w:pPr>
        <w:rPr>
          <w:rFonts w:ascii="仿宋_GB2312" w:hAnsi="仿宋_GB2312" w:eastAsia="仿宋_GB2312" w:cs="Times New Roman"/>
        </w:rPr>
      </w:pPr>
    </w:p>
    <w:p w14:paraId="13EE80AD">
      <w:pPr>
        <w:rPr>
          <w:rFonts w:ascii="仿宋_GB2312" w:hAnsi="仿宋_GB2312" w:eastAsia="仿宋_GB2312" w:cs="Times New Roman"/>
        </w:rPr>
      </w:pPr>
    </w:p>
    <w:p w14:paraId="6AB1F0B3">
      <w:pPr>
        <w:pStyle w:val="6"/>
      </w:pPr>
    </w:p>
    <w:p w14:paraId="113DBA40">
      <w:pPr>
        <w:pStyle w:val="6"/>
        <w:rPr>
          <w:rFonts w:hint="eastAsia" w:ascii="仿宋_GB2312" w:hAnsi="仿宋_GB2312" w:eastAsia="仿宋_GB2312" w:cs="仿宋"/>
        </w:rPr>
      </w:pPr>
    </w:p>
    <w:p w14:paraId="473C8341">
      <w:pPr>
        <w:pStyle w:val="18"/>
        <w:rPr>
          <w:rFonts w:hint="eastAsia" w:ascii="仿宋_GB2312" w:hAnsi="仿宋_GB2312" w:eastAsia="仿宋_GB2312" w:cs="仿宋"/>
        </w:rPr>
      </w:pPr>
      <w:bookmarkStart w:id="62" w:name="_Toc69478556"/>
      <w:bookmarkStart w:id="63" w:name="_Toc509579145"/>
      <w:r>
        <w:rPr>
          <w:rFonts w:hint="eastAsia" w:ascii="仿宋_GB2312" w:hAnsi="仿宋_GB2312" w:eastAsia="仿宋_GB2312" w:cs="仿宋"/>
        </w:rPr>
        <w:t>第四章 谈判过程中可实质性变动的内容</w:t>
      </w:r>
      <w:bookmarkEnd w:id="62"/>
      <w:bookmarkEnd w:id="63"/>
    </w:p>
    <w:p w14:paraId="7771033A">
      <w:pPr>
        <w:tabs>
          <w:tab w:val="left" w:pos="7665"/>
        </w:tabs>
        <w:spacing w:line="360" w:lineRule="auto"/>
        <w:ind w:firstLine="480"/>
        <w:rPr>
          <w:rFonts w:ascii="仿宋_GB2312" w:hAnsi="仿宋_GB2312" w:eastAsia="仿宋_GB2312"/>
        </w:rPr>
      </w:pPr>
    </w:p>
    <w:p w14:paraId="2EC07DF9">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第三章中标注“★”号的条款，以及第七章合同草案条款，为本次谈判采购项目的可变动的实质性要求，供应商在谈判结束后应全部满足。</w:t>
      </w:r>
    </w:p>
    <w:p w14:paraId="5D1C41B5">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以书面形式通知所有参加谈判的供应商。</w:t>
      </w:r>
    </w:p>
    <w:p w14:paraId="2157A7B5">
      <w:pPr>
        <w:rPr>
          <w:rFonts w:hint="eastAsia" w:ascii="仿宋_GB2312" w:hAnsi="仿宋_GB2312" w:eastAsia="仿宋_GB2312" w:cs="仿宋"/>
        </w:rPr>
      </w:pPr>
    </w:p>
    <w:p w14:paraId="6CEF88DA">
      <w:pPr>
        <w:pStyle w:val="6"/>
        <w:rPr>
          <w:rFonts w:hint="eastAsia" w:ascii="仿宋_GB2312" w:hAnsi="仿宋_GB2312" w:eastAsia="仿宋_GB2312" w:cs="仿宋"/>
        </w:rPr>
      </w:pPr>
    </w:p>
    <w:p w14:paraId="6E93EEAB">
      <w:pPr>
        <w:rPr>
          <w:rFonts w:hint="eastAsia" w:ascii="仿宋_GB2312" w:hAnsi="仿宋_GB2312" w:eastAsia="仿宋_GB2312" w:cs="仿宋"/>
        </w:rPr>
      </w:pPr>
    </w:p>
    <w:p w14:paraId="676B6577">
      <w:pPr>
        <w:pStyle w:val="6"/>
        <w:rPr>
          <w:rFonts w:hint="eastAsia" w:ascii="仿宋_GB2312" w:hAnsi="仿宋_GB2312" w:eastAsia="仿宋_GB2312" w:cs="仿宋"/>
        </w:rPr>
      </w:pPr>
    </w:p>
    <w:p w14:paraId="2EA8D258">
      <w:pPr>
        <w:rPr>
          <w:rFonts w:hint="eastAsia"/>
        </w:rPr>
      </w:pPr>
    </w:p>
    <w:p w14:paraId="569553C1">
      <w:pPr>
        <w:pStyle w:val="6"/>
        <w:rPr>
          <w:rFonts w:hint="eastAsia"/>
        </w:rPr>
      </w:pPr>
    </w:p>
    <w:p w14:paraId="5C14BD91">
      <w:pPr>
        <w:rPr>
          <w:rFonts w:hint="eastAsia"/>
        </w:rPr>
      </w:pPr>
    </w:p>
    <w:p w14:paraId="5A4B5BEF">
      <w:pPr>
        <w:pStyle w:val="6"/>
        <w:rPr>
          <w:rFonts w:hint="eastAsia"/>
        </w:rPr>
      </w:pPr>
    </w:p>
    <w:p w14:paraId="01B48136">
      <w:pPr>
        <w:rPr>
          <w:rFonts w:hint="eastAsia"/>
        </w:rPr>
      </w:pPr>
    </w:p>
    <w:p w14:paraId="45287F4E">
      <w:pPr>
        <w:pStyle w:val="6"/>
        <w:rPr>
          <w:rFonts w:hint="eastAsia"/>
        </w:rPr>
      </w:pPr>
    </w:p>
    <w:p w14:paraId="6BBD4213">
      <w:pPr>
        <w:rPr>
          <w:rFonts w:hint="eastAsia"/>
        </w:rPr>
      </w:pPr>
    </w:p>
    <w:p w14:paraId="5E0962E3">
      <w:pPr>
        <w:pStyle w:val="6"/>
        <w:rPr>
          <w:rFonts w:hint="eastAsia"/>
        </w:rPr>
      </w:pPr>
    </w:p>
    <w:p w14:paraId="05DE02FE">
      <w:pPr>
        <w:rPr>
          <w:rFonts w:hint="eastAsia"/>
        </w:rPr>
      </w:pPr>
    </w:p>
    <w:p w14:paraId="3AE31027">
      <w:pPr>
        <w:pStyle w:val="6"/>
        <w:rPr>
          <w:rFonts w:hint="eastAsia"/>
        </w:rPr>
      </w:pPr>
    </w:p>
    <w:p w14:paraId="22A3030A">
      <w:pPr>
        <w:rPr>
          <w:rFonts w:hint="eastAsia"/>
        </w:rPr>
      </w:pPr>
    </w:p>
    <w:p w14:paraId="6DE06C57">
      <w:pPr>
        <w:pStyle w:val="6"/>
        <w:rPr>
          <w:rFonts w:hint="eastAsia"/>
        </w:rPr>
      </w:pPr>
    </w:p>
    <w:p w14:paraId="06F4DB48">
      <w:pPr>
        <w:rPr>
          <w:rFonts w:hint="eastAsia"/>
        </w:rPr>
      </w:pPr>
    </w:p>
    <w:p w14:paraId="06CD5123">
      <w:pPr>
        <w:pStyle w:val="6"/>
        <w:rPr>
          <w:rFonts w:hint="eastAsia"/>
        </w:rPr>
      </w:pPr>
    </w:p>
    <w:p w14:paraId="39C7CE79">
      <w:pPr>
        <w:rPr>
          <w:rFonts w:hint="eastAsia"/>
        </w:rPr>
      </w:pPr>
    </w:p>
    <w:p w14:paraId="17378D23">
      <w:pPr>
        <w:pStyle w:val="6"/>
        <w:rPr>
          <w:rFonts w:hint="eastAsia"/>
        </w:rPr>
      </w:pPr>
    </w:p>
    <w:p w14:paraId="77AA08AB">
      <w:pPr>
        <w:rPr>
          <w:rFonts w:hint="eastAsia"/>
        </w:rPr>
      </w:pPr>
    </w:p>
    <w:p w14:paraId="553D1576">
      <w:pPr>
        <w:pStyle w:val="6"/>
        <w:rPr>
          <w:rFonts w:hint="eastAsia"/>
        </w:rPr>
      </w:pPr>
    </w:p>
    <w:p w14:paraId="404D9486">
      <w:pPr>
        <w:rPr>
          <w:rFonts w:hint="eastAsia"/>
        </w:rPr>
      </w:pPr>
    </w:p>
    <w:p w14:paraId="3F194E16">
      <w:pPr>
        <w:pStyle w:val="6"/>
        <w:rPr>
          <w:rFonts w:hint="eastAsia"/>
        </w:rPr>
      </w:pPr>
    </w:p>
    <w:p w14:paraId="10D3EC47">
      <w:pPr>
        <w:rPr>
          <w:rFonts w:hint="eastAsia"/>
        </w:rPr>
      </w:pPr>
    </w:p>
    <w:p w14:paraId="6D3317C2">
      <w:pPr>
        <w:pStyle w:val="6"/>
        <w:rPr>
          <w:rFonts w:hint="eastAsia"/>
        </w:rPr>
      </w:pPr>
    </w:p>
    <w:p w14:paraId="71605DA5">
      <w:pPr>
        <w:rPr>
          <w:rFonts w:hint="eastAsia"/>
        </w:rPr>
      </w:pPr>
    </w:p>
    <w:p w14:paraId="41D15934">
      <w:pPr>
        <w:pStyle w:val="6"/>
        <w:rPr>
          <w:rFonts w:hint="eastAsia"/>
        </w:rPr>
      </w:pPr>
    </w:p>
    <w:p w14:paraId="461F34BA">
      <w:pPr>
        <w:pStyle w:val="6"/>
        <w:rPr>
          <w:rFonts w:hint="eastAsia" w:ascii="仿宋_GB2312" w:hAnsi="仿宋_GB2312" w:eastAsia="仿宋_GB2312" w:cs="仿宋"/>
        </w:rPr>
      </w:pPr>
    </w:p>
    <w:p w14:paraId="45687E6C">
      <w:pPr>
        <w:rPr>
          <w:rFonts w:hint="eastAsia"/>
        </w:rPr>
      </w:pPr>
    </w:p>
    <w:p w14:paraId="56F74173">
      <w:pPr>
        <w:pStyle w:val="18"/>
        <w:rPr>
          <w:rFonts w:ascii="仿宋_GB2312" w:hAnsi="仿宋_GB2312" w:eastAsia="仿宋_GB2312" w:cs="Times New Roman"/>
        </w:rPr>
      </w:pPr>
      <w:r>
        <w:rPr>
          <w:rFonts w:hint="eastAsia" w:ascii="仿宋_GB2312" w:hAnsi="仿宋_GB2312" w:eastAsia="仿宋_GB2312" w:cs="仿宋"/>
        </w:rPr>
        <w:t>第</w:t>
      </w:r>
      <w:r>
        <w:rPr>
          <w:rFonts w:hint="eastAsia" w:ascii="仿宋_GB2312" w:hAnsi="仿宋_GB2312" w:eastAsia="仿宋_GB2312" w:cs="仿宋"/>
          <w:lang w:eastAsia="zh-CN"/>
        </w:rPr>
        <w:t>五</w:t>
      </w:r>
      <w:r>
        <w:rPr>
          <w:rFonts w:hint="eastAsia" w:ascii="仿宋_GB2312" w:hAnsi="仿宋_GB2312" w:eastAsia="仿宋_GB2312" w:cs="仿宋"/>
        </w:rPr>
        <w:t>章 响应文件格式</w:t>
      </w:r>
      <w:bookmarkEnd w:id="57"/>
    </w:p>
    <w:p w14:paraId="32C69EDC">
      <w:pPr>
        <w:spacing w:line="360" w:lineRule="auto"/>
        <w:rPr>
          <w:rFonts w:ascii="仿宋_GB2312" w:hAnsi="仿宋_GB2312" w:eastAsia="仿宋_GB2312"/>
          <w:b/>
          <w:bCs/>
          <w:sz w:val="32"/>
          <w:szCs w:val="32"/>
        </w:rPr>
      </w:pPr>
    </w:p>
    <w:p w14:paraId="31E49365">
      <w:pPr>
        <w:spacing w:line="360" w:lineRule="auto"/>
        <w:rPr>
          <w:rFonts w:ascii="仿宋_GB2312" w:hAnsi="仿宋_GB2312" w:eastAsia="仿宋_GB2312"/>
        </w:rPr>
      </w:pPr>
      <w:r>
        <w:rPr>
          <w:rFonts w:hint="eastAsia" w:ascii="仿宋_GB2312" w:hAnsi="仿宋_GB2312" w:eastAsia="仿宋_GB2312" w:cs="仿宋"/>
        </w:rPr>
        <w:t>一、本章所制响应文件格式，除格式中明确将该格式作为实质性要求的，不具有强制性。</w:t>
      </w:r>
    </w:p>
    <w:p w14:paraId="134B871F">
      <w:pPr>
        <w:spacing w:line="360" w:lineRule="auto"/>
        <w:rPr>
          <w:rFonts w:ascii="仿宋_GB2312" w:hAnsi="仿宋_GB2312" w:eastAsia="仿宋_GB2312"/>
        </w:rPr>
      </w:pPr>
      <w:r>
        <w:rPr>
          <w:rFonts w:hint="eastAsia" w:ascii="仿宋_GB2312" w:hAnsi="仿宋_GB2312" w:eastAsia="仿宋_GB2312" w:cs="仿宋"/>
        </w:rPr>
        <w:t>二、本章所制响应文件格式有关表格中的备注栏，由供应商根据自身响应情况作解释性说明，不作为必填项。</w:t>
      </w:r>
    </w:p>
    <w:p w14:paraId="54B5ECA6">
      <w:pPr>
        <w:spacing w:line="360" w:lineRule="auto"/>
        <w:jc w:val="center"/>
        <w:rPr>
          <w:rFonts w:ascii="仿宋_GB2312" w:hAnsi="仿宋_GB2312" w:eastAsia="仿宋_GB2312"/>
          <w:b/>
          <w:bCs/>
          <w:sz w:val="32"/>
          <w:szCs w:val="32"/>
        </w:rPr>
      </w:pPr>
    </w:p>
    <w:p w14:paraId="79F5C216">
      <w:pPr>
        <w:spacing w:line="360" w:lineRule="auto"/>
        <w:jc w:val="center"/>
        <w:rPr>
          <w:rFonts w:ascii="仿宋_GB2312" w:hAnsi="仿宋_GB2312" w:eastAsia="仿宋_GB2312"/>
          <w:b/>
          <w:bCs/>
          <w:sz w:val="32"/>
          <w:szCs w:val="32"/>
        </w:rPr>
      </w:pPr>
      <w:r>
        <w:rPr>
          <w:rFonts w:ascii="仿宋_GB2312" w:hAnsi="仿宋_GB2312" w:eastAsia="仿宋_GB2312"/>
          <w:b/>
          <w:bCs/>
          <w:sz w:val="32"/>
          <w:szCs w:val="32"/>
        </w:rPr>
        <w:br w:type="page"/>
      </w:r>
    </w:p>
    <w:p w14:paraId="41BB7B2B">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 xml:space="preserve"> “响应文件”格式</w:t>
      </w:r>
    </w:p>
    <w:p w14:paraId="2D76A071">
      <w:pPr>
        <w:spacing w:line="360" w:lineRule="auto"/>
        <w:rPr>
          <w:rFonts w:ascii="仿宋_GB2312" w:hAnsi="仿宋_GB2312" w:eastAsia="仿宋_GB2312"/>
          <w:b/>
          <w:bCs/>
          <w:sz w:val="28"/>
          <w:szCs w:val="28"/>
        </w:rPr>
      </w:pPr>
    </w:p>
    <w:p w14:paraId="34312F34">
      <w:pPr>
        <w:spacing w:line="360" w:lineRule="auto"/>
        <w:rPr>
          <w:rFonts w:ascii="仿宋_GB2312" w:hAnsi="仿宋_GB2312" w:eastAsia="仿宋_GB2312"/>
          <w:b/>
          <w:bCs/>
          <w:sz w:val="32"/>
          <w:szCs w:val="32"/>
        </w:rPr>
      </w:pPr>
      <w:r>
        <w:rPr>
          <w:rFonts w:hint="eastAsia" w:ascii="仿宋_GB2312" w:hAnsi="仿宋_GB2312" w:eastAsia="仿宋_GB2312" w:cs="仿宋"/>
          <w:b/>
          <w:bCs/>
          <w:sz w:val="32"/>
          <w:szCs w:val="32"/>
        </w:rPr>
        <w:t>封面：</w:t>
      </w:r>
    </w:p>
    <w:p w14:paraId="78A222FF">
      <w:pPr>
        <w:spacing w:line="360" w:lineRule="auto"/>
        <w:rPr>
          <w:rFonts w:ascii="仿宋_GB2312" w:hAnsi="仿宋_GB2312" w:eastAsia="仿宋_GB2312" w:cs="仿宋"/>
          <w:b/>
          <w:bCs/>
          <w:sz w:val="36"/>
          <w:szCs w:val="36"/>
        </w:rPr>
      </w:pPr>
    </w:p>
    <w:p w14:paraId="09BC6CAE">
      <w:pPr>
        <w:spacing w:line="360" w:lineRule="auto"/>
        <w:rPr>
          <w:rFonts w:ascii="仿宋_GB2312" w:hAnsi="仿宋_GB2312" w:eastAsia="仿宋_GB2312"/>
          <w:b/>
          <w:bCs/>
          <w:sz w:val="32"/>
          <w:szCs w:val="32"/>
        </w:rPr>
      </w:pPr>
    </w:p>
    <w:p w14:paraId="2520F9A5">
      <w:pPr>
        <w:spacing w:line="360" w:lineRule="auto"/>
        <w:jc w:val="center"/>
        <w:rPr>
          <w:rFonts w:ascii="仿宋_GB2312" w:hAnsi="仿宋_GB2312" w:eastAsia="仿宋_GB2312"/>
          <w:b/>
          <w:bCs/>
          <w:sz w:val="72"/>
          <w:szCs w:val="72"/>
        </w:rPr>
      </w:pPr>
      <w:r>
        <w:rPr>
          <w:rFonts w:ascii="仿宋_GB2312" w:hAnsi="仿宋_GB2312" w:eastAsia="仿宋_GB2312" w:cs="仿宋"/>
          <w:b/>
          <w:bCs/>
          <w:sz w:val="40"/>
          <w:szCs w:val="40"/>
        </w:rPr>
        <w:t>XX</w:t>
      </w:r>
      <w:r>
        <w:rPr>
          <w:rFonts w:hint="eastAsia" w:ascii="仿宋_GB2312" w:hAnsi="仿宋_GB2312" w:eastAsia="仿宋_GB2312" w:cs="仿宋"/>
          <w:b/>
          <w:bCs/>
          <w:sz w:val="40"/>
          <w:szCs w:val="40"/>
        </w:rPr>
        <w:t>项目</w:t>
      </w:r>
    </w:p>
    <w:p w14:paraId="5F9D89AF">
      <w:pPr>
        <w:spacing w:line="360" w:lineRule="auto"/>
        <w:rPr>
          <w:rFonts w:ascii="仿宋_GB2312" w:hAnsi="仿宋_GB2312" w:eastAsia="仿宋_GB2312"/>
          <w:b/>
          <w:bCs/>
          <w:sz w:val="52"/>
          <w:szCs w:val="52"/>
        </w:rPr>
      </w:pPr>
    </w:p>
    <w:p w14:paraId="74DF04D4">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52"/>
          <w:szCs w:val="52"/>
        </w:rPr>
        <w:t>响应文件</w:t>
      </w:r>
    </w:p>
    <w:p w14:paraId="3372380B">
      <w:pPr>
        <w:spacing w:line="360" w:lineRule="auto"/>
        <w:rPr>
          <w:rFonts w:ascii="仿宋_GB2312" w:hAnsi="仿宋_GB2312" w:eastAsia="仿宋_GB2312"/>
          <w:b/>
          <w:bCs/>
          <w:sz w:val="36"/>
          <w:szCs w:val="36"/>
        </w:rPr>
      </w:pPr>
    </w:p>
    <w:p w14:paraId="696574DB">
      <w:pPr>
        <w:spacing w:line="360" w:lineRule="auto"/>
        <w:rPr>
          <w:rFonts w:ascii="仿宋_GB2312" w:hAnsi="仿宋_GB2312" w:eastAsia="仿宋_GB2312"/>
          <w:b/>
          <w:bCs/>
          <w:sz w:val="36"/>
          <w:szCs w:val="36"/>
        </w:rPr>
      </w:pPr>
    </w:p>
    <w:p w14:paraId="1E8F4F98">
      <w:pPr>
        <w:spacing w:line="360" w:lineRule="auto"/>
        <w:rPr>
          <w:rFonts w:ascii="仿宋_GB2312" w:hAnsi="仿宋_GB2312" w:eastAsia="仿宋_GB2312"/>
          <w:b/>
          <w:bCs/>
          <w:sz w:val="36"/>
          <w:szCs w:val="36"/>
        </w:rPr>
      </w:pPr>
    </w:p>
    <w:p w14:paraId="69497361">
      <w:pPr>
        <w:spacing w:line="360" w:lineRule="auto"/>
        <w:rPr>
          <w:rFonts w:ascii="仿宋_GB2312" w:hAnsi="仿宋_GB2312" w:eastAsia="仿宋_GB2312"/>
          <w:b/>
          <w:bCs/>
          <w:sz w:val="36"/>
          <w:szCs w:val="36"/>
        </w:rPr>
      </w:pPr>
    </w:p>
    <w:p w14:paraId="24C2D1EF">
      <w:pPr>
        <w:spacing w:line="360" w:lineRule="auto"/>
        <w:rPr>
          <w:rFonts w:ascii="仿宋_GB2312" w:hAnsi="仿宋_GB2312" w:eastAsia="仿宋_GB2312"/>
          <w:b/>
          <w:bCs/>
          <w:sz w:val="36"/>
          <w:szCs w:val="36"/>
        </w:rPr>
      </w:pPr>
    </w:p>
    <w:p w14:paraId="484AAAAE">
      <w:pPr>
        <w:spacing w:line="360" w:lineRule="auto"/>
        <w:rPr>
          <w:rFonts w:ascii="仿宋_GB2312" w:hAnsi="仿宋_GB2312" w:eastAsia="仿宋_GB2312"/>
          <w:b/>
          <w:bCs/>
          <w:sz w:val="36"/>
          <w:szCs w:val="36"/>
        </w:rPr>
      </w:pPr>
    </w:p>
    <w:p w14:paraId="54F38C4D">
      <w:pPr>
        <w:spacing w:line="360" w:lineRule="auto"/>
        <w:ind w:firstLine="643" w:firstLineChars="200"/>
        <w:rPr>
          <w:rFonts w:ascii="仿宋_GB2312" w:hAnsi="仿宋_GB2312" w:eastAsia="仿宋_GB2312"/>
          <w:b/>
          <w:bCs/>
          <w:sz w:val="32"/>
          <w:szCs w:val="32"/>
          <w:u w:val="single"/>
        </w:rPr>
      </w:pPr>
      <w:r>
        <w:rPr>
          <w:rFonts w:hint="eastAsia" w:ascii="仿宋_GB2312" w:hAnsi="仿宋_GB2312" w:eastAsia="仿宋_GB2312" w:cs="仿宋"/>
          <w:b/>
          <w:bCs/>
          <w:sz w:val="32"/>
          <w:szCs w:val="32"/>
        </w:rPr>
        <w:t>供应商名称：</w:t>
      </w:r>
    </w:p>
    <w:p w14:paraId="071EE367">
      <w:pPr>
        <w:spacing w:line="360" w:lineRule="auto"/>
        <w:jc w:val="center"/>
        <w:rPr>
          <w:rFonts w:ascii="仿宋_GB2312" w:hAnsi="仿宋_GB2312" w:eastAsia="仿宋_GB2312"/>
          <w:b/>
          <w:bCs/>
          <w:sz w:val="32"/>
          <w:szCs w:val="32"/>
        </w:rPr>
      </w:pPr>
      <w:r>
        <w:rPr>
          <w:rFonts w:ascii="仿宋_GB2312" w:hAnsi="仿宋_GB2312" w:eastAsia="仿宋_GB2312" w:cs="仿宋"/>
          <w:b/>
          <w:bCs/>
          <w:sz w:val="32"/>
          <w:szCs w:val="32"/>
        </w:rPr>
        <w:t>XX</w:t>
      </w:r>
      <w:r>
        <w:rPr>
          <w:rFonts w:hint="eastAsia" w:ascii="仿宋_GB2312" w:hAnsi="仿宋_GB2312" w:eastAsia="仿宋_GB2312" w:cs="仿宋"/>
          <w:b/>
          <w:bCs/>
          <w:sz w:val="32"/>
          <w:szCs w:val="32"/>
        </w:rPr>
        <w:t>年</w:t>
      </w:r>
      <w:r>
        <w:rPr>
          <w:rFonts w:ascii="仿宋_GB2312" w:hAnsi="仿宋_GB2312" w:eastAsia="仿宋_GB2312" w:cs="仿宋"/>
          <w:b/>
          <w:bCs/>
          <w:sz w:val="32"/>
          <w:szCs w:val="32"/>
        </w:rPr>
        <w:t>XX</w:t>
      </w:r>
      <w:r>
        <w:rPr>
          <w:rFonts w:hint="eastAsia" w:ascii="仿宋_GB2312" w:hAnsi="仿宋_GB2312" w:eastAsia="仿宋_GB2312" w:cs="仿宋"/>
          <w:b/>
          <w:bCs/>
          <w:sz w:val="32"/>
          <w:szCs w:val="32"/>
        </w:rPr>
        <w:t>月</w:t>
      </w:r>
      <w:r>
        <w:rPr>
          <w:rFonts w:ascii="仿宋_GB2312" w:hAnsi="仿宋_GB2312" w:eastAsia="仿宋_GB2312" w:cs="仿宋"/>
          <w:b/>
          <w:bCs/>
          <w:sz w:val="32"/>
          <w:szCs w:val="32"/>
        </w:rPr>
        <w:t>XX</w:t>
      </w:r>
      <w:r>
        <w:rPr>
          <w:rFonts w:hint="eastAsia" w:ascii="仿宋_GB2312" w:hAnsi="仿宋_GB2312" w:eastAsia="仿宋_GB2312" w:cs="仿宋"/>
          <w:b/>
          <w:bCs/>
          <w:sz w:val="32"/>
          <w:szCs w:val="32"/>
        </w:rPr>
        <w:t>日</w:t>
      </w:r>
    </w:p>
    <w:p w14:paraId="4F675599">
      <w:pPr>
        <w:ind w:firstLine="640" w:firstLineChars="200"/>
        <w:rPr>
          <w:rFonts w:ascii="仿宋_GB2312" w:hAnsi="仿宋_GB2312" w:eastAsia="仿宋_GB2312"/>
          <w:sz w:val="32"/>
          <w:szCs w:val="32"/>
        </w:rPr>
      </w:pPr>
    </w:p>
    <w:p w14:paraId="02BC4E65">
      <w:pPr>
        <w:rPr>
          <w:rFonts w:ascii="仿宋_GB2312" w:hAnsi="仿宋_GB2312" w:eastAsia="仿宋_GB2312" w:cs="仿宋"/>
          <w:b/>
          <w:bCs/>
          <w:sz w:val="28"/>
          <w:szCs w:val="28"/>
        </w:rPr>
      </w:pPr>
      <w:r>
        <w:rPr>
          <w:rFonts w:ascii="仿宋_GB2312" w:hAnsi="仿宋_GB2312" w:eastAsia="仿宋_GB2312"/>
          <w:sz w:val="32"/>
          <w:szCs w:val="32"/>
        </w:rPr>
        <w:br w:type="page"/>
      </w: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1</w:t>
      </w:r>
    </w:p>
    <w:p w14:paraId="1CB4FB53">
      <w:pPr>
        <w:pStyle w:val="4"/>
        <w:tabs>
          <w:tab w:val="left" w:pos="709"/>
        </w:tabs>
        <w:jc w:val="center"/>
        <w:rPr>
          <w:rFonts w:ascii="仿宋_GB2312" w:hAnsi="仿宋_GB2312" w:eastAsia="仿宋_GB2312"/>
        </w:rPr>
      </w:pPr>
      <w:r>
        <w:rPr>
          <w:rFonts w:hint="eastAsia" w:ascii="仿宋_GB2312" w:hAnsi="仿宋_GB2312" w:eastAsia="仿宋_GB2312" w:cs="宋体"/>
        </w:rPr>
        <w:t>一、法定代表人/负责人身份证明书</w:t>
      </w:r>
    </w:p>
    <w:p w14:paraId="59D05C20">
      <w:pPr>
        <w:spacing w:line="360" w:lineRule="auto"/>
        <w:ind w:firstLine="470" w:firstLineChars="196"/>
        <w:jc w:val="center"/>
        <w:outlineLvl w:val="1"/>
        <w:rPr>
          <w:rFonts w:ascii="仿宋_GB2312" w:hAnsi="仿宋_GB2312" w:eastAsia="仿宋_GB2312"/>
          <w:bCs/>
        </w:rPr>
      </w:pPr>
      <w:r>
        <w:rPr>
          <w:rFonts w:hint="eastAsia" w:ascii="仿宋_GB2312" w:hAnsi="仿宋_GB2312" w:eastAsia="仿宋_GB2312"/>
          <w:bCs/>
        </w:rPr>
        <w:t>（</w:t>
      </w:r>
      <w:r>
        <w:rPr>
          <w:rFonts w:hint="eastAsia" w:ascii="仿宋_GB2312" w:hAnsi="仿宋_GB2312" w:eastAsia="仿宋_GB2312" w:cs="仿宋"/>
        </w:rPr>
        <w:t>法定代表人/负责人参加谈判时提供</w:t>
      </w:r>
      <w:r>
        <w:rPr>
          <w:rFonts w:hint="eastAsia" w:ascii="仿宋_GB2312" w:hAnsi="仿宋_GB2312" w:eastAsia="仿宋_GB2312"/>
          <w:bCs/>
        </w:rPr>
        <w:t>）</w:t>
      </w:r>
    </w:p>
    <w:p w14:paraId="411459BA">
      <w:pPr>
        <w:spacing w:line="360" w:lineRule="auto"/>
        <w:ind w:firstLine="470" w:firstLineChars="196"/>
        <w:outlineLvl w:val="1"/>
        <w:rPr>
          <w:rFonts w:ascii="仿宋_GB2312" w:hAnsi="仿宋_GB2312" w:eastAsia="仿宋_GB2312" w:cs="仿宋"/>
        </w:rPr>
      </w:pPr>
    </w:p>
    <w:p w14:paraId="5D491DE0">
      <w:pPr>
        <w:spacing w:line="360" w:lineRule="auto"/>
        <w:ind w:firstLine="470" w:firstLineChars="196"/>
        <w:outlineLvl w:val="1"/>
        <w:rPr>
          <w:rFonts w:ascii="仿宋_GB2312" w:hAnsi="仿宋_GB2312" w:eastAsia="仿宋_GB2312" w:cs="仿宋"/>
          <w:lang w:val="zh-CN"/>
        </w:rPr>
      </w:pPr>
      <w:r>
        <w:rPr>
          <w:rFonts w:hint="eastAsia" w:ascii="仿宋_GB2312" w:hAnsi="仿宋_GB2312" w:eastAsia="仿宋_GB2312" w:cs="仿宋"/>
          <w:lang w:val="zh-CN"/>
        </w:rPr>
        <w:t>（法定代表人/负责人姓名）在（供应商名称）处任（职务名称）职务，是（供应商名称）的法定代表人。</w:t>
      </w:r>
    </w:p>
    <w:p w14:paraId="7710E2A4">
      <w:pPr>
        <w:spacing w:line="360" w:lineRule="auto"/>
        <w:ind w:firstLine="470" w:firstLineChars="196"/>
        <w:outlineLvl w:val="1"/>
        <w:rPr>
          <w:rFonts w:ascii="仿宋_GB2312" w:hAnsi="仿宋_GB2312" w:eastAsia="仿宋_GB2312" w:cs="仿宋"/>
          <w:lang w:val="zh-CN"/>
        </w:rPr>
      </w:pPr>
      <w:r>
        <w:rPr>
          <w:rFonts w:hint="eastAsia" w:ascii="仿宋_GB2312" w:hAnsi="仿宋_GB2312" w:eastAsia="仿宋_GB2312" w:cs="仿宋"/>
          <w:lang w:val="zh-CN"/>
        </w:rPr>
        <w:t>特此证明。</w:t>
      </w:r>
    </w:p>
    <w:p w14:paraId="2400A8A6">
      <w:pPr>
        <w:spacing w:line="360" w:lineRule="auto"/>
        <w:ind w:firstLine="470" w:firstLineChars="196"/>
        <w:outlineLvl w:val="1"/>
        <w:rPr>
          <w:rFonts w:ascii="仿宋_GB2312" w:hAnsi="仿宋_GB2312" w:eastAsia="仿宋_GB2312" w:cs="仿宋"/>
          <w:lang w:val="zh-CN"/>
        </w:rPr>
      </w:pPr>
    </w:p>
    <w:p w14:paraId="408E517E">
      <w:pPr>
        <w:spacing w:line="360" w:lineRule="auto"/>
        <w:ind w:firstLine="470" w:firstLineChars="196"/>
        <w:outlineLvl w:val="1"/>
        <w:rPr>
          <w:rFonts w:ascii="仿宋_GB2312" w:hAnsi="仿宋_GB2312" w:eastAsia="仿宋_GB2312" w:cs="仿宋"/>
          <w:lang w:val="zh-CN"/>
        </w:rPr>
      </w:pPr>
      <w:r>
        <w:rPr>
          <w:rFonts w:hint="eastAsia" w:ascii="仿宋_GB2312" w:hAnsi="仿宋_GB2312" w:eastAsia="仿宋_GB2312" w:cs="仿宋"/>
          <w:lang w:val="zh-CN"/>
        </w:rPr>
        <w:t>附件：法定代表人/负责人的身份证/护照/户口本</w:t>
      </w:r>
    </w:p>
    <w:p w14:paraId="0FB29F3C">
      <w:pPr>
        <w:spacing w:line="360" w:lineRule="auto"/>
        <w:ind w:firstLine="470" w:firstLineChars="196"/>
        <w:outlineLvl w:val="1"/>
        <w:rPr>
          <w:rFonts w:ascii="仿宋_GB2312" w:hAnsi="仿宋_GB2312" w:eastAsia="仿宋_GB2312" w:cs="仿宋"/>
          <w:lang w:val="zh-CN"/>
        </w:rPr>
      </w:pPr>
    </w:p>
    <w:p w14:paraId="1023783E">
      <w:pPr>
        <w:spacing w:line="360" w:lineRule="auto"/>
        <w:ind w:firstLine="470" w:firstLineChars="196"/>
        <w:outlineLvl w:val="1"/>
        <w:rPr>
          <w:rFonts w:ascii="仿宋_GB2312" w:hAnsi="仿宋_GB2312" w:eastAsia="仿宋_GB2312" w:cs="仿宋"/>
          <w:lang w:val="zh-CN"/>
        </w:rPr>
      </w:pPr>
    </w:p>
    <w:p w14:paraId="679A8D5B">
      <w:pPr>
        <w:spacing w:line="360" w:lineRule="auto"/>
        <w:ind w:firstLine="470" w:firstLineChars="196"/>
        <w:outlineLvl w:val="1"/>
        <w:rPr>
          <w:rFonts w:ascii="仿宋_GB2312" w:hAnsi="仿宋_GB2312" w:eastAsia="仿宋_GB2312" w:cs="仿宋"/>
          <w:lang w:val="zh-CN"/>
        </w:rPr>
      </w:pPr>
    </w:p>
    <w:p w14:paraId="0798B874">
      <w:pPr>
        <w:spacing w:line="360" w:lineRule="auto"/>
        <w:ind w:firstLine="5028" w:firstLineChars="2095"/>
        <w:outlineLvl w:val="1"/>
        <w:rPr>
          <w:rFonts w:ascii="仿宋_GB2312" w:hAnsi="仿宋_GB2312" w:eastAsia="仿宋_GB2312" w:cs="仿宋"/>
        </w:rPr>
      </w:pPr>
      <w:r>
        <w:rPr>
          <w:rFonts w:hint="eastAsia" w:ascii="仿宋_GB2312" w:hAnsi="仿宋_GB2312" w:eastAsia="仿宋_GB2312" w:cs="仿宋"/>
          <w:lang w:val="zh-CN"/>
        </w:rPr>
        <w:t>供应商名称：XXXX（加盖公章）</w:t>
      </w:r>
    </w:p>
    <w:p w14:paraId="200DFF06">
      <w:pPr>
        <w:spacing w:line="360" w:lineRule="auto"/>
        <w:ind w:firstLine="5268" w:firstLineChars="2195"/>
        <w:outlineLvl w:val="1"/>
        <w:rPr>
          <w:sz w:val="28"/>
          <w:szCs w:val="28"/>
        </w:rPr>
      </w:pPr>
      <w:r>
        <w:rPr>
          <w:rFonts w:hint="eastAsia" w:ascii="仿宋_GB2312" w:hAnsi="仿宋_GB2312" w:eastAsia="仿宋_GB2312" w:cs="仿宋"/>
        </w:rPr>
        <w:t>日期：XX年XX月XX日</w:t>
      </w:r>
    </w:p>
    <w:p w14:paraId="41B5F0A7">
      <w:pPr>
        <w:spacing w:line="500" w:lineRule="exact"/>
        <w:ind w:right="560"/>
        <w:jc w:val="right"/>
        <w:rPr>
          <w:sz w:val="28"/>
          <w:szCs w:val="28"/>
        </w:rPr>
      </w:pPr>
    </w:p>
    <w:p w14:paraId="61C3E18E">
      <w:pPr>
        <w:spacing w:line="500" w:lineRule="exact"/>
        <w:ind w:right="560"/>
        <w:jc w:val="right"/>
        <w:rPr>
          <w:sz w:val="28"/>
          <w:szCs w:val="28"/>
        </w:rPr>
      </w:pPr>
    </w:p>
    <w:p w14:paraId="6EB7D297">
      <w:pPr>
        <w:spacing w:line="500" w:lineRule="exact"/>
        <w:ind w:right="560"/>
        <w:jc w:val="right"/>
        <w:rPr>
          <w:sz w:val="28"/>
          <w:szCs w:val="28"/>
        </w:rPr>
      </w:pPr>
    </w:p>
    <w:p w14:paraId="6A5B1C40">
      <w:pPr>
        <w:spacing w:line="500" w:lineRule="exact"/>
        <w:ind w:right="560"/>
        <w:jc w:val="right"/>
        <w:rPr>
          <w:sz w:val="28"/>
          <w:szCs w:val="28"/>
        </w:rPr>
      </w:pPr>
    </w:p>
    <w:p w14:paraId="318116FE">
      <w:pPr>
        <w:spacing w:line="360" w:lineRule="auto"/>
        <w:ind w:left="840" w:leftChars="150" w:hanging="480" w:hangingChars="200"/>
        <w:jc w:val="both"/>
        <w:rPr>
          <w:rFonts w:ascii="仿宋_GB2312" w:hAnsi="仿宋_GB2312" w:eastAsia="仿宋_GB2312" w:cs="仿宋"/>
        </w:rPr>
      </w:pPr>
    </w:p>
    <w:p w14:paraId="133EFD17">
      <w:pPr>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注：本法定代表人/负责人身份证明书应当附法定代表人/负责人的居民身份证（包括正反两面）或护照（为外籍人士的，则提供护照）或户口本。</w:t>
      </w:r>
    </w:p>
    <w:p w14:paraId="2CC8AD08">
      <w:pPr>
        <w:spacing w:line="360" w:lineRule="auto"/>
        <w:jc w:val="center"/>
        <w:rPr>
          <w:rFonts w:ascii="仿宋_GB2312" w:hAnsi="仿宋_GB2312" w:eastAsia="仿宋_GB2312" w:cs="仿宋"/>
          <w:b/>
          <w:bCs/>
          <w:sz w:val="32"/>
          <w:szCs w:val="32"/>
        </w:rPr>
      </w:pPr>
    </w:p>
    <w:p w14:paraId="592DB2F4">
      <w:pPr>
        <w:spacing w:line="360" w:lineRule="auto"/>
        <w:jc w:val="center"/>
        <w:rPr>
          <w:rFonts w:ascii="仿宋_GB2312" w:hAnsi="仿宋_GB2312" w:eastAsia="仿宋_GB2312" w:cs="仿宋"/>
          <w:b/>
          <w:bCs/>
          <w:sz w:val="32"/>
          <w:szCs w:val="32"/>
        </w:rPr>
      </w:pPr>
    </w:p>
    <w:p w14:paraId="0F6F77B5">
      <w:pPr>
        <w:spacing w:line="360" w:lineRule="auto"/>
        <w:jc w:val="center"/>
        <w:rPr>
          <w:rFonts w:ascii="仿宋_GB2312" w:hAnsi="仿宋_GB2312" w:eastAsia="仿宋_GB2312" w:cs="仿宋"/>
          <w:b/>
          <w:bCs/>
          <w:sz w:val="32"/>
          <w:szCs w:val="32"/>
        </w:rPr>
      </w:pPr>
    </w:p>
    <w:p w14:paraId="7B559F2D">
      <w:pPr>
        <w:spacing w:line="360" w:lineRule="auto"/>
        <w:jc w:val="center"/>
        <w:rPr>
          <w:rFonts w:ascii="仿宋_GB2312" w:hAnsi="仿宋_GB2312" w:eastAsia="仿宋_GB2312" w:cs="仿宋"/>
          <w:b/>
          <w:bCs/>
          <w:sz w:val="32"/>
          <w:szCs w:val="32"/>
        </w:rPr>
      </w:pPr>
    </w:p>
    <w:p w14:paraId="0D9859F5">
      <w:pPr>
        <w:spacing w:line="360" w:lineRule="auto"/>
        <w:jc w:val="center"/>
        <w:rPr>
          <w:rFonts w:ascii="仿宋_GB2312" w:hAnsi="仿宋_GB2312" w:eastAsia="仿宋_GB2312" w:cs="仿宋"/>
          <w:b/>
          <w:bCs/>
          <w:sz w:val="32"/>
          <w:szCs w:val="32"/>
        </w:rPr>
      </w:pPr>
    </w:p>
    <w:p w14:paraId="5D5B2BB1">
      <w:pPr>
        <w:spacing w:line="360" w:lineRule="auto"/>
        <w:rPr>
          <w:rFonts w:ascii="仿宋_GB2312" w:hAnsi="仿宋_GB2312" w:eastAsia="仿宋_GB2312" w:cs="仿宋"/>
          <w:b/>
          <w:bCs/>
          <w:sz w:val="28"/>
          <w:szCs w:val="28"/>
        </w:rPr>
      </w:pP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2</w:t>
      </w:r>
    </w:p>
    <w:p w14:paraId="298878B5">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二、法定代表人</w:t>
      </w:r>
      <w:r>
        <w:rPr>
          <w:rFonts w:ascii="仿宋_GB2312" w:hAnsi="仿宋_GB2312" w:eastAsia="仿宋_GB2312" w:cs="仿宋"/>
          <w:b/>
          <w:bCs/>
          <w:sz w:val="32"/>
          <w:szCs w:val="32"/>
        </w:rPr>
        <w:t>/</w:t>
      </w:r>
      <w:r>
        <w:rPr>
          <w:rFonts w:hint="eastAsia" w:ascii="仿宋_GB2312" w:hAnsi="仿宋_GB2312" w:eastAsia="仿宋_GB2312" w:cs="仿宋"/>
          <w:b/>
          <w:bCs/>
          <w:sz w:val="32"/>
          <w:szCs w:val="32"/>
        </w:rPr>
        <w:t>负责人授权书</w:t>
      </w:r>
    </w:p>
    <w:p w14:paraId="2BB72A83">
      <w:pPr>
        <w:spacing w:line="360" w:lineRule="auto"/>
        <w:ind w:firstLine="470" w:firstLineChars="196"/>
        <w:jc w:val="center"/>
        <w:outlineLvl w:val="1"/>
        <w:rPr>
          <w:rFonts w:ascii="仿宋_GB2312" w:hAnsi="仿宋_GB2312" w:eastAsia="仿宋_GB2312"/>
          <w:bCs/>
        </w:rPr>
      </w:pPr>
      <w:r>
        <w:rPr>
          <w:rFonts w:hint="eastAsia" w:ascii="仿宋_GB2312" w:hAnsi="仿宋_GB2312" w:eastAsia="仿宋_GB2312"/>
          <w:bCs/>
        </w:rPr>
        <w:t>（非</w:t>
      </w:r>
      <w:r>
        <w:rPr>
          <w:rFonts w:hint="eastAsia" w:ascii="仿宋_GB2312" w:hAnsi="仿宋_GB2312" w:eastAsia="仿宋_GB2312" w:cs="仿宋"/>
        </w:rPr>
        <w:t>法定代表人/负责人参加谈判时提供</w:t>
      </w:r>
      <w:r>
        <w:rPr>
          <w:rFonts w:hint="eastAsia" w:ascii="仿宋_GB2312" w:hAnsi="仿宋_GB2312" w:eastAsia="仿宋_GB2312"/>
          <w:bCs/>
        </w:rPr>
        <w:t>）</w:t>
      </w:r>
    </w:p>
    <w:p w14:paraId="536FAB4E">
      <w:pPr>
        <w:spacing w:line="360" w:lineRule="auto"/>
        <w:ind w:firstLine="472" w:firstLineChars="196"/>
        <w:outlineLvl w:val="1"/>
        <w:rPr>
          <w:rFonts w:ascii="仿宋_GB2312" w:hAnsi="仿宋_GB2312" w:eastAsia="仿宋_GB2312"/>
          <w:b/>
          <w:bCs/>
        </w:rPr>
      </w:pPr>
    </w:p>
    <w:p w14:paraId="361A391B">
      <w:pPr>
        <w:spacing w:line="360" w:lineRule="auto"/>
        <w:outlineLvl w:val="1"/>
        <w:rPr>
          <w:rFonts w:ascii="仿宋_GB2312" w:hAnsi="仿宋_GB2312" w:eastAsia="仿宋_GB2312" w:cs="仿宋"/>
        </w:rPr>
      </w:pPr>
      <w:r>
        <w:rPr>
          <w:rFonts w:ascii="仿宋_GB2312" w:hAnsi="仿宋_GB2312" w:eastAsia="仿宋_GB2312" w:cs="仿宋"/>
        </w:rPr>
        <w:t>XXXXXXXX</w:t>
      </w:r>
      <w:r>
        <w:rPr>
          <w:rFonts w:hint="eastAsia" w:ascii="仿宋_GB2312" w:hAnsi="仿宋_GB2312" w:eastAsia="仿宋_GB2312" w:cs="仿宋"/>
        </w:rPr>
        <w:t>（采购人名称）：</w:t>
      </w:r>
    </w:p>
    <w:p w14:paraId="1887516F">
      <w:pPr>
        <w:spacing w:line="360" w:lineRule="auto"/>
        <w:ind w:firstLine="470" w:firstLineChars="196"/>
        <w:outlineLvl w:val="1"/>
        <w:rPr>
          <w:rFonts w:ascii="仿宋_GB2312" w:hAnsi="仿宋_GB2312" w:eastAsia="仿宋_GB2312" w:cs="仿宋"/>
        </w:rPr>
      </w:pPr>
      <w:r>
        <w:rPr>
          <w:rFonts w:hint="eastAsia" w:ascii="仿宋_GB2312" w:hAnsi="仿宋_GB2312" w:eastAsia="仿宋_GB2312" w:cs="仿宋"/>
        </w:rPr>
        <w:t>本授权声明：</w:t>
      </w:r>
      <w:r>
        <w:rPr>
          <w:rFonts w:ascii="仿宋_GB2312" w:hAnsi="仿宋_GB2312" w:eastAsia="仿宋_GB2312" w:cs="仿宋"/>
        </w:rPr>
        <w:t xml:space="preserve"> XXXX</w:t>
      </w:r>
      <w:r>
        <w:rPr>
          <w:rFonts w:hint="eastAsia" w:ascii="仿宋_GB2312" w:hAnsi="仿宋_GB2312" w:eastAsia="仿宋_GB2312" w:cs="仿宋"/>
        </w:rPr>
        <w:t>（供应商名称）授权</w:t>
      </w:r>
      <w:r>
        <w:rPr>
          <w:rFonts w:ascii="仿宋_GB2312" w:hAnsi="仿宋_GB2312" w:eastAsia="仿宋_GB2312" w:cs="仿宋"/>
        </w:rPr>
        <w:t>XXXX</w:t>
      </w:r>
      <w:r>
        <w:rPr>
          <w:rFonts w:hint="eastAsia" w:ascii="仿宋_GB2312" w:hAnsi="仿宋_GB2312" w:eastAsia="仿宋_GB2312" w:cs="仿宋"/>
        </w:rPr>
        <w:t>（被授权人姓名、职务）为参加“</w:t>
      </w:r>
      <w:r>
        <w:rPr>
          <w:rFonts w:ascii="仿宋_GB2312" w:hAnsi="仿宋_GB2312" w:eastAsia="仿宋_GB2312" w:cs="仿宋"/>
        </w:rPr>
        <w:t>XXXXXXXX</w:t>
      </w:r>
      <w:r>
        <w:rPr>
          <w:rFonts w:hint="eastAsia" w:ascii="仿宋_GB2312" w:hAnsi="仿宋_GB2312" w:eastAsia="仿宋_GB2312" w:cs="仿宋"/>
        </w:rPr>
        <w:t>”项目（项目备案号：</w:t>
      </w:r>
      <w:r>
        <w:rPr>
          <w:rFonts w:ascii="仿宋_GB2312" w:hAnsi="仿宋_GB2312" w:eastAsia="仿宋_GB2312" w:cs="仿宋"/>
        </w:rPr>
        <w:t>XXXX</w:t>
      </w:r>
      <w:r>
        <w:rPr>
          <w:rFonts w:hint="eastAsia" w:ascii="仿宋_GB2312" w:hAnsi="仿宋_GB2312" w:eastAsia="仿宋_GB2312" w:cs="仿宋"/>
        </w:rPr>
        <w:t>）的合法代表，代表我方与谈判小组进行谈判。</w:t>
      </w:r>
    </w:p>
    <w:p w14:paraId="51B3A7E3">
      <w:pPr>
        <w:spacing w:line="360" w:lineRule="auto"/>
        <w:ind w:firstLine="470" w:firstLineChars="196"/>
        <w:outlineLvl w:val="1"/>
        <w:rPr>
          <w:rFonts w:ascii="仿宋_GB2312" w:hAnsi="仿宋_GB2312" w:eastAsia="仿宋_GB2312" w:cs="仿宋"/>
        </w:rPr>
      </w:pPr>
      <w:r>
        <w:rPr>
          <w:rFonts w:hint="eastAsia" w:ascii="仿宋_GB2312" w:hAnsi="仿宋_GB2312" w:eastAsia="仿宋_GB2312" w:cs="仿宋"/>
        </w:rPr>
        <w:t>特此声明。</w:t>
      </w:r>
    </w:p>
    <w:p w14:paraId="68EE9F4D">
      <w:pPr>
        <w:spacing w:line="360" w:lineRule="auto"/>
        <w:ind w:firstLine="470" w:firstLineChars="196"/>
        <w:outlineLvl w:val="1"/>
        <w:rPr>
          <w:rFonts w:ascii="仿宋_GB2312" w:hAnsi="仿宋_GB2312" w:eastAsia="仿宋_GB2312" w:cs="仿宋"/>
        </w:rPr>
      </w:pPr>
    </w:p>
    <w:p w14:paraId="30897B27">
      <w:pPr>
        <w:spacing w:line="360" w:lineRule="auto"/>
        <w:ind w:firstLine="470" w:firstLineChars="196"/>
        <w:outlineLvl w:val="1"/>
        <w:rPr>
          <w:rFonts w:ascii="仿宋_GB2312" w:hAnsi="仿宋_GB2312" w:eastAsia="仿宋_GB2312" w:cs="仿宋"/>
        </w:rPr>
      </w:pPr>
      <w:r>
        <w:rPr>
          <w:rFonts w:hint="eastAsia" w:ascii="仿宋_GB2312" w:hAnsi="仿宋_GB2312" w:eastAsia="仿宋_GB2312" w:cs="仿宋"/>
        </w:rPr>
        <w:t>附件：授权代表的身份证/护照/户口本</w:t>
      </w:r>
    </w:p>
    <w:p w14:paraId="096278C8">
      <w:pPr>
        <w:spacing w:line="360" w:lineRule="auto"/>
        <w:ind w:firstLine="470" w:firstLineChars="196"/>
        <w:outlineLvl w:val="1"/>
        <w:rPr>
          <w:rFonts w:ascii="仿宋_GB2312" w:hAnsi="仿宋_GB2312" w:eastAsia="仿宋_GB2312"/>
        </w:rPr>
      </w:pPr>
    </w:p>
    <w:p w14:paraId="2BD1CE29">
      <w:pPr>
        <w:spacing w:line="360" w:lineRule="auto"/>
        <w:ind w:firstLine="470" w:firstLineChars="196"/>
        <w:outlineLvl w:val="1"/>
        <w:rPr>
          <w:rFonts w:ascii="仿宋_GB2312" w:hAnsi="仿宋_GB2312" w:eastAsia="仿宋_GB2312"/>
        </w:rPr>
      </w:pPr>
      <w:r>
        <w:rPr>
          <w:rFonts w:hint="eastAsia" w:ascii="仿宋_GB2312" w:hAnsi="仿宋_GB2312" w:eastAsia="仿宋_GB2312" w:cs="仿宋"/>
        </w:rPr>
        <w:t>法定代表人</w:t>
      </w:r>
      <w:r>
        <w:rPr>
          <w:rFonts w:ascii="仿宋_GB2312" w:hAnsi="仿宋_GB2312" w:eastAsia="仿宋_GB2312" w:cs="仿宋"/>
        </w:rPr>
        <w:t>/</w:t>
      </w:r>
      <w:r>
        <w:rPr>
          <w:rFonts w:hint="eastAsia" w:ascii="仿宋_GB2312" w:hAnsi="仿宋_GB2312" w:eastAsia="仿宋_GB2312" w:cs="仿宋"/>
        </w:rPr>
        <w:t>负责人（签名）：</w:t>
      </w:r>
      <w:r>
        <w:rPr>
          <w:rFonts w:ascii="仿宋_GB2312" w:hAnsi="仿宋_GB2312" w:eastAsia="仿宋_GB2312" w:cs="仿宋"/>
        </w:rPr>
        <w:t>XXXX</w:t>
      </w:r>
    </w:p>
    <w:p w14:paraId="1F833E9E">
      <w:pPr>
        <w:spacing w:line="360" w:lineRule="auto"/>
        <w:ind w:firstLine="470" w:firstLineChars="196"/>
        <w:outlineLvl w:val="1"/>
        <w:rPr>
          <w:rFonts w:ascii="仿宋_GB2312" w:hAnsi="仿宋_GB2312" w:eastAsia="仿宋_GB2312"/>
        </w:rPr>
      </w:pPr>
      <w:r>
        <w:rPr>
          <w:rFonts w:hint="eastAsia" w:ascii="仿宋_GB2312" w:hAnsi="仿宋_GB2312" w:eastAsia="仿宋_GB2312" w:cs="仿宋"/>
        </w:rPr>
        <w:t>授权代表（签名）：</w:t>
      </w:r>
      <w:r>
        <w:rPr>
          <w:rFonts w:ascii="仿宋_GB2312" w:hAnsi="仿宋_GB2312" w:eastAsia="仿宋_GB2312" w:cs="仿宋"/>
        </w:rPr>
        <w:t>XXXX</w:t>
      </w:r>
    </w:p>
    <w:p w14:paraId="7106D0D0">
      <w:pPr>
        <w:spacing w:line="360" w:lineRule="auto"/>
        <w:ind w:firstLine="470" w:firstLineChars="196"/>
        <w:outlineLvl w:val="1"/>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XXXX</w:t>
      </w:r>
      <w:r>
        <w:rPr>
          <w:rFonts w:hint="eastAsia" w:ascii="仿宋_GB2312" w:hAnsi="仿宋_GB2312" w:eastAsia="仿宋_GB2312" w:cs="仿宋"/>
        </w:rPr>
        <w:t>（加盖公章）</w:t>
      </w:r>
    </w:p>
    <w:p w14:paraId="3E3E8FAD">
      <w:pPr>
        <w:spacing w:line="440" w:lineRule="exact"/>
        <w:ind w:firstLine="480" w:firstLineChars="200"/>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14:paraId="3160F014">
      <w:pPr>
        <w:spacing w:line="360" w:lineRule="auto"/>
        <w:outlineLvl w:val="1"/>
        <w:rPr>
          <w:rFonts w:ascii="仿宋_GB2312" w:hAnsi="仿宋_GB2312" w:eastAsia="仿宋_GB2312"/>
          <w:b/>
          <w:bCs/>
        </w:rPr>
      </w:pPr>
    </w:p>
    <w:p w14:paraId="22B577E1">
      <w:pPr>
        <w:spacing w:line="360" w:lineRule="auto"/>
        <w:ind w:left="840" w:hanging="840" w:hangingChars="350"/>
        <w:rPr>
          <w:rFonts w:ascii="仿宋_GB2312" w:hAnsi="仿宋_GB2312" w:eastAsia="仿宋_GB2312"/>
        </w:rPr>
      </w:pPr>
      <w:r>
        <w:rPr>
          <w:rFonts w:hint="eastAsia" w:ascii="仿宋_GB2312" w:hAnsi="仿宋_GB2312" w:eastAsia="仿宋_GB2312" w:cs="仿宋"/>
        </w:rPr>
        <w:t>注：</w:t>
      </w:r>
    </w:p>
    <w:p w14:paraId="493D5AFD">
      <w:pPr>
        <w:spacing w:line="360" w:lineRule="auto"/>
        <w:ind w:firstLine="480" w:firstLineChars="200"/>
        <w:rPr>
          <w:rFonts w:ascii="仿宋_GB2312" w:hAnsi="仿宋_GB2312" w:eastAsia="仿宋_GB2312"/>
        </w:rPr>
      </w:pPr>
      <w:r>
        <w:rPr>
          <w:rFonts w:ascii="仿宋_GB2312" w:hAnsi="仿宋_GB2312" w:eastAsia="仿宋_GB2312" w:cs="仿宋"/>
        </w:rPr>
        <w:t>1</w:t>
      </w:r>
      <w:r>
        <w:rPr>
          <w:rFonts w:hint="eastAsia" w:ascii="仿宋_GB2312" w:hAnsi="仿宋_GB2312" w:eastAsia="仿宋_GB2312" w:cs="仿宋"/>
        </w:rPr>
        <w:t>．本法定代表人/负责人授权书应附授权代表身份证明材料。</w:t>
      </w:r>
    </w:p>
    <w:p w14:paraId="1F2A4F59">
      <w:pPr>
        <w:spacing w:line="360" w:lineRule="auto"/>
        <w:ind w:firstLine="480" w:firstLineChars="200"/>
        <w:rPr>
          <w:rFonts w:ascii="仿宋_GB2312" w:hAnsi="仿宋_GB2312" w:eastAsia="仿宋_GB2312"/>
        </w:rPr>
      </w:pPr>
      <w:r>
        <w:rPr>
          <w:rFonts w:ascii="仿宋_GB2312" w:hAnsi="仿宋_GB2312" w:eastAsia="仿宋_GB2312" w:cs="仿宋"/>
        </w:rPr>
        <w:t>2</w:t>
      </w:r>
      <w:r>
        <w:rPr>
          <w:rFonts w:hint="eastAsia" w:ascii="仿宋_GB2312" w:hAnsi="仿宋_GB2312" w:eastAsia="仿宋_GB2312" w:cs="仿宋"/>
        </w:rPr>
        <w:t>．身份证明材料包括居民身份证（包括正反两面）或护照（为外籍人士的，则提供护照）或户口本。</w:t>
      </w:r>
    </w:p>
    <w:p w14:paraId="4A0AA4CB">
      <w:pPr>
        <w:pStyle w:val="4"/>
        <w:tabs>
          <w:tab w:val="left" w:pos="709"/>
        </w:tabs>
        <w:jc w:val="center"/>
        <w:rPr>
          <w:rFonts w:ascii="仿宋_GB2312" w:hAnsi="仿宋_GB2312" w:eastAsia="仿宋_GB2312"/>
        </w:rPr>
      </w:pPr>
    </w:p>
    <w:p w14:paraId="1AD373FD">
      <w:pPr>
        <w:rPr>
          <w:rFonts w:ascii="仿宋_GB2312" w:hAnsi="仿宋_GB2312" w:eastAsia="仿宋_GB2312" w:cs="仿宋"/>
          <w:b/>
          <w:bCs/>
          <w:sz w:val="28"/>
          <w:szCs w:val="28"/>
        </w:rPr>
      </w:pPr>
      <w:r>
        <w:rPr>
          <w:rFonts w:ascii="仿宋_GB2312" w:hAnsi="仿宋_GB2312" w:eastAsia="仿宋_GB2312"/>
          <w:b/>
          <w:bCs/>
          <w:sz w:val="28"/>
          <w:szCs w:val="28"/>
        </w:rPr>
        <w:br w:type="page"/>
      </w: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3</w:t>
      </w:r>
    </w:p>
    <w:p w14:paraId="45C32D4C">
      <w:pPr>
        <w:spacing w:line="360" w:lineRule="auto"/>
        <w:ind w:right="480" w:firstLine="470" w:firstLineChars="196"/>
        <w:jc w:val="center"/>
        <w:outlineLvl w:val="1"/>
        <w:rPr>
          <w:rFonts w:ascii="仿宋_GB2312" w:hAnsi="仿宋_GB2312" w:eastAsia="仿宋_GB2312"/>
        </w:rPr>
      </w:pPr>
      <w:r>
        <w:rPr>
          <w:rFonts w:ascii="仿宋_GB2312" w:hAnsi="仿宋_GB2312" w:eastAsia="仿宋_GB2312" w:cs="仿宋"/>
        </w:rPr>
        <w:t xml:space="preserve">    </w:t>
      </w:r>
      <w:r>
        <w:rPr>
          <w:rFonts w:hint="eastAsia" w:ascii="仿宋_GB2312" w:hAnsi="仿宋_GB2312" w:eastAsia="仿宋_GB2312" w:cs="仿宋"/>
          <w:b/>
          <w:bCs/>
          <w:sz w:val="32"/>
          <w:szCs w:val="32"/>
        </w:rPr>
        <w:t>三、承诺函（实质性要求）</w:t>
      </w:r>
    </w:p>
    <w:p w14:paraId="53493386">
      <w:pPr>
        <w:jc w:val="center"/>
        <w:outlineLvl w:val="1"/>
        <w:rPr>
          <w:rFonts w:ascii="仿宋_GB2312" w:hAnsi="仿宋_GB2312" w:eastAsia="仿宋_GB2312"/>
          <w:b/>
          <w:bCs/>
        </w:rPr>
      </w:pPr>
    </w:p>
    <w:p w14:paraId="1864D98D">
      <w:pPr>
        <w:spacing w:line="360" w:lineRule="auto"/>
        <w:rPr>
          <w:rFonts w:ascii="仿宋_GB2312" w:hAnsi="仿宋_GB2312" w:eastAsia="仿宋_GB2312"/>
        </w:rPr>
      </w:pPr>
      <w:r>
        <w:rPr>
          <w:rFonts w:ascii="仿宋_GB2312" w:hAnsi="仿宋_GB2312" w:eastAsia="仿宋_GB2312" w:cs="仿宋"/>
        </w:rPr>
        <w:t>XXX</w:t>
      </w:r>
      <w:r>
        <w:rPr>
          <w:rFonts w:hint="eastAsia" w:ascii="仿宋_GB2312" w:hAnsi="仿宋_GB2312" w:eastAsia="仿宋_GB2312" w:cs="仿宋"/>
        </w:rPr>
        <w:t>（采购人）：</w:t>
      </w:r>
    </w:p>
    <w:p w14:paraId="35846257">
      <w:pPr>
        <w:spacing w:line="360" w:lineRule="auto"/>
        <w:ind w:firstLine="480" w:firstLineChars="200"/>
        <w:rPr>
          <w:rFonts w:ascii="仿宋_GB2312" w:hAnsi="仿宋_GB2312" w:eastAsia="仿宋_GB2312"/>
        </w:rPr>
      </w:pPr>
      <w:r>
        <w:rPr>
          <w:rFonts w:hint="eastAsia" w:ascii="仿宋_GB2312" w:hAnsi="仿宋_GB2312" w:eastAsia="仿宋_GB2312" w:cs="仿宋"/>
        </w:rPr>
        <w:t>我方作为本次采购项目的供应商，根据谈判文件要求，现郑重承诺如下：</w:t>
      </w:r>
    </w:p>
    <w:p w14:paraId="64CAC1DD">
      <w:pPr>
        <w:spacing w:line="360" w:lineRule="auto"/>
        <w:ind w:firstLine="480" w:firstLineChars="200"/>
        <w:outlineLvl w:val="1"/>
        <w:rPr>
          <w:rFonts w:ascii="仿宋_GB2312" w:hAnsi="仿宋_GB2312" w:eastAsia="仿宋_GB2312"/>
        </w:rPr>
      </w:pPr>
      <w:r>
        <w:rPr>
          <w:rFonts w:hint="eastAsia" w:ascii="仿宋_GB2312" w:hAnsi="仿宋_GB2312" w:eastAsia="仿宋_GB2312" w:cs="仿宋"/>
        </w:rPr>
        <w:t>一、具备《中华人民共和国政府采购法》第二十二条第一款和本项目规定的条件。</w:t>
      </w:r>
    </w:p>
    <w:p w14:paraId="21F24B10">
      <w:pPr>
        <w:adjustRightInd w:val="0"/>
        <w:snapToGrid w:val="0"/>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二、截至响应文件提交截止日未被列入失信被执行人、重大税收违法案件当事人名单、政府采购严重违法失信行为记录名单等。</w:t>
      </w:r>
    </w:p>
    <w:p w14:paraId="064EAA89">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三、已认真阅读并接受本项目谈判文件的全部实质性要求。</w:t>
      </w:r>
    </w:p>
    <w:p w14:paraId="04C31CB5">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四、我方承诺在响应文件有效</w:t>
      </w:r>
      <w:r>
        <w:rPr>
          <w:rFonts w:hint="eastAsia" w:ascii="仿宋_GB2312" w:hAnsi="仿宋_GB2312" w:eastAsia="仿宋_GB2312" w:cs="仿宋"/>
          <w:color w:val="000000" w:themeColor="text1"/>
          <w14:textFill>
            <w14:solidFill>
              <w14:schemeClr w14:val="tx1"/>
            </w14:solidFill>
          </w14:textFill>
        </w:rPr>
        <w:t>期90天内</w:t>
      </w:r>
      <w:r>
        <w:rPr>
          <w:rFonts w:hint="eastAsia" w:ascii="仿宋_GB2312" w:hAnsi="仿宋_GB2312" w:eastAsia="仿宋_GB2312" w:cs="仿宋"/>
        </w:rPr>
        <w:t>不撤销响应文件。</w:t>
      </w:r>
    </w:p>
    <w:p w14:paraId="679F9C9B">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五、在参加本次采购活动中，不存在与单位负责人为同一人或者存在直接控股、管理关系的其他供应商参与同一合同项下的政府采购活动的行为。与我方存在直接控股关系的单位为：</w:t>
      </w:r>
      <w:r>
        <w:rPr>
          <w:rFonts w:ascii="仿宋_GB2312" w:hAnsi="仿宋_GB2312" w:eastAsia="仿宋_GB2312" w:cs="仿宋"/>
        </w:rPr>
        <w:t>XXX</w:t>
      </w:r>
      <w:r>
        <w:rPr>
          <w:rFonts w:hint="eastAsia" w:ascii="仿宋_GB2312" w:hAnsi="仿宋_GB2312" w:eastAsia="仿宋_GB2312" w:cs="仿宋"/>
        </w:rPr>
        <w:t>；存在管理关系单位为：</w:t>
      </w:r>
      <w:r>
        <w:rPr>
          <w:rFonts w:ascii="仿宋_GB2312" w:hAnsi="仿宋_GB2312" w:eastAsia="仿宋_GB2312" w:cs="仿宋"/>
        </w:rPr>
        <w:t>XXX</w:t>
      </w:r>
      <w:r>
        <w:rPr>
          <w:rFonts w:hint="eastAsia" w:ascii="仿宋_GB2312" w:hAnsi="仿宋_GB2312" w:eastAsia="仿宋_GB2312" w:cs="仿宋"/>
        </w:rPr>
        <w:t>。</w:t>
      </w:r>
    </w:p>
    <w:p w14:paraId="62FA2706">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六、为采购项目提供整体设计、规范编制或者项目管理、监理、检测等服务的供应商，不得再参加该采购项目的其他采购活动，我方承诺不属于此类禁止参加本项目的供应商。</w:t>
      </w:r>
    </w:p>
    <w:p w14:paraId="2F85C5B7">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七</w:t>
      </w:r>
      <w:r>
        <w:rPr>
          <w:rFonts w:ascii="仿宋_GB2312" w:hAnsi="仿宋_GB2312" w:eastAsia="仿宋_GB2312" w:cs="仿宋"/>
        </w:rPr>
        <w:t>、在同一合同项下的采购项目中，不存在与其他供应商委托同一个自然人、同一单位的人员编制</w:t>
      </w:r>
      <w:r>
        <w:rPr>
          <w:rFonts w:hint="eastAsia" w:ascii="仿宋_GB2312" w:hAnsi="仿宋_GB2312" w:eastAsia="仿宋_GB2312" w:cs="仿宋"/>
        </w:rPr>
        <w:t>响应文</w:t>
      </w:r>
      <w:r>
        <w:rPr>
          <w:rFonts w:ascii="仿宋_GB2312" w:hAnsi="仿宋_GB2312" w:eastAsia="仿宋_GB2312" w:cs="仿宋"/>
        </w:rPr>
        <w:t>件。</w:t>
      </w:r>
    </w:p>
    <w:p w14:paraId="2494FE83">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八</w:t>
      </w:r>
      <w:r>
        <w:rPr>
          <w:rFonts w:ascii="仿宋_GB2312" w:hAnsi="仿宋_GB2312" w:eastAsia="仿宋_GB2312" w:cs="仿宋"/>
        </w:rPr>
        <w:t>、在同一合同项下的采购项目中，不存在与其他供应商委托同一个自然人、同一单位的人员办理</w:t>
      </w:r>
      <w:r>
        <w:rPr>
          <w:rFonts w:hint="eastAsia" w:ascii="仿宋_GB2312" w:hAnsi="仿宋_GB2312" w:eastAsia="仿宋_GB2312" w:cs="仿宋"/>
        </w:rPr>
        <w:t>响应</w:t>
      </w:r>
      <w:r>
        <w:rPr>
          <w:rFonts w:ascii="仿宋_GB2312" w:hAnsi="仿宋_GB2312" w:eastAsia="仿宋_GB2312" w:cs="仿宋"/>
        </w:rPr>
        <w:t>相关事宜。</w:t>
      </w:r>
    </w:p>
    <w:p w14:paraId="4BB9BA01">
      <w:pPr>
        <w:spacing w:line="440" w:lineRule="exact"/>
        <w:ind w:firstLine="480" w:firstLineChars="200"/>
        <w:rPr>
          <w:rFonts w:ascii="仿宋_GB2312" w:hAnsi="仿宋_GB2312" w:eastAsia="仿宋_GB2312"/>
        </w:rPr>
      </w:pPr>
      <w:r>
        <w:rPr>
          <w:rFonts w:hint="eastAsia" w:ascii="仿宋_GB2312" w:hAnsi="仿宋_GB2312" w:eastAsia="仿宋_GB2312" w:cs="仿宋"/>
        </w:rPr>
        <w:t>九、我方与采购人不属于同一单位，也不是采购人的分支机构。</w:t>
      </w:r>
    </w:p>
    <w:p w14:paraId="7FD98767">
      <w:pPr>
        <w:spacing w:line="440" w:lineRule="exact"/>
        <w:ind w:firstLine="480" w:firstLineChars="200"/>
        <w:rPr>
          <w:rFonts w:ascii="仿宋_GB2312" w:hAnsi="仿宋_GB2312" w:eastAsia="仿宋_GB2312"/>
        </w:rPr>
      </w:pPr>
      <w:r>
        <w:rPr>
          <w:rFonts w:hint="eastAsia" w:ascii="仿宋_GB2312" w:hAnsi="仿宋_GB2312" w:eastAsia="仿宋_GB2312" w:cs="仿宋"/>
        </w:rPr>
        <w:t>十、响应文件中提供的任何资料和技术、服务、商务等响应承诺情况都是真实的、有效的、合法的。</w:t>
      </w:r>
    </w:p>
    <w:p w14:paraId="44A932BB">
      <w:pPr>
        <w:spacing w:line="440" w:lineRule="exact"/>
        <w:ind w:firstLine="480" w:firstLineChars="200"/>
        <w:rPr>
          <w:rFonts w:ascii="仿宋_GB2312" w:hAnsi="仿宋_GB2312" w:eastAsia="仿宋_GB2312"/>
        </w:rPr>
      </w:pPr>
      <w:r>
        <w:rPr>
          <w:rFonts w:hint="eastAsia" w:ascii="仿宋_GB2312" w:hAnsi="仿宋_GB2312" w:eastAsia="仿宋_GB2312" w:cs="仿宋"/>
        </w:rPr>
        <w:t>十一、如本项目谈判采购过程中需要提供样品，则我方提供的样品即为成交后将要提供的成交产品，我方对提供样品的性能和质量负责，因样品存在缺陷或者不符合谈判文件要求导致未能成交的，我方愿意承担相应不利后果。</w:t>
      </w:r>
    </w:p>
    <w:p w14:paraId="4847DA27">
      <w:pPr>
        <w:spacing w:line="440" w:lineRule="exact"/>
        <w:ind w:firstLine="480" w:firstLineChars="200"/>
        <w:rPr>
          <w:rFonts w:ascii="仿宋_GB2312" w:hAnsi="仿宋_GB2312" w:eastAsia="仿宋_GB2312"/>
        </w:rPr>
      </w:pPr>
      <w:r>
        <w:rPr>
          <w:rFonts w:hint="eastAsia" w:ascii="仿宋_GB2312" w:hAnsi="仿宋_GB2312" w:eastAsia="仿宋_GB2312" w:cs="仿宋"/>
        </w:rPr>
        <w:t>十二、国家或行业主管部门对工程项目的技术标准、质量标准和资格资质条件等有强制性规定的，我方承诺符合其要求。</w:t>
      </w:r>
    </w:p>
    <w:p w14:paraId="65C7F50B">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十三、参加本次采购活动，我方完全同意谈判文件第二章关于“谈判费用”“合同分包”“合同转包”“履约保证金”的实质性要求，并承诺严格按照谈判文件要求履行。</w:t>
      </w:r>
    </w:p>
    <w:p w14:paraId="3E7EE9AA">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十四、供应商应根据采购人提供的竞争性谈判文件，按照供应商实际情况进行投标报价，报价应包括但不限于采购项目概况以及方案、图纸涉及的所有内容。供应商应充分考虑本项目合同实施期间可能发生的一切费用，合同履行期间不再增加任何费用，并充分考虑市场情况，承担由此而带来的全部风险。</w:t>
      </w:r>
    </w:p>
    <w:p w14:paraId="0383F0C0">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十五、我方保证在本项目中使用的任何技术、产品和服务（包括部分使用），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我方将在采购项目实施过程中采用自有或者第三方知识成果的，使用该知识成果后，我方需提供开发接口和开发手册等技术资料，并承诺提供无限期支持，采购人享有使用权（含采购人委托第三方在该项目后续开发的使用权）。如采用我方所不拥有的知识产权，则在报价中必须包括合法获取使用该知识产权的相关费用。构成本谈判文件的各组成部分，未经采购人书面同意，我方不得擅自复印或用于非本谈判项目所需的其他目的。</w:t>
      </w:r>
    </w:p>
    <w:p w14:paraId="39755FE2">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我方</w:t>
      </w:r>
      <w:r>
        <w:rPr>
          <w:rFonts w:ascii="仿宋_GB2312" w:hAnsi="仿宋_GB2312" w:eastAsia="仿宋_GB2312" w:cs="仿宋"/>
        </w:rPr>
        <w:t>对上述承诺内容的真实性负责，如经查证承诺内容存在虚假，我</w:t>
      </w:r>
      <w:r>
        <w:rPr>
          <w:rFonts w:hint="eastAsia" w:ascii="仿宋_GB2312" w:hAnsi="仿宋_GB2312" w:eastAsia="仿宋_GB2312" w:cs="仿宋"/>
        </w:rPr>
        <w:t>方</w:t>
      </w:r>
      <w:r>
        <w:rPr>
          <w:rFonts w:ascii="仿宋_GB2312" w:hAnsi="仿宋_GB2312" w:eastAsia="仿宋_GB2312" w:cs="仿宋"/>
        </w:rPr>
        <w:t>愿意依法承担因提供虚假材料谋取成交的法律责任。</w:t>
      </w:r>
    </w:p>
    <w:p w14:paraId="52A1F48B">
      <w:pPr>
        <w:spacing w:line="440" w:lineRule="exact"/>
        <w:ind w:firstLine="480" w:firstLineChars="200"/>
        <w:rPr>
          <w:rFonts w:ascii="仿宋_GB2312" w:hAnsi="仿宋_GB2312" w:eastAsia="仿宋_GB2312"/>
        </w:rPr>
      </w:pPr>
    </w:p>
    <w:p w14:paraId="43CD645E">
      <w:pPr>
        <w:spacing w:line="440" w:lineRule="exact"/>
        <w:ind w:firstLine="480" w:firstLineChars="200"/>
        <w:rPr>
          <w:rFonts w:ascii="仿宋_GB2312" w:hAnsi="仿宋_GB2312" w:eastAsia="仿宋_GB2312"/>
        </w:rPr>
      </w:pPr>
    </w:p>
    <w:p w14:paraId="5AB5A400">
      <w:pPr>
        <w:spacing w:line="440" w:lineRule="exact"/>
        <w:rPr>
          <w:rFonts w:ascii="仿宋_GB2312" w:hAnsi="仿宋_GB2312" w:eastAsia="仿宋_GB2312"/>
        </w:rPr>
      </w:pPr>
    </w:p>
    <w:p w14:paraId="4042B2AC">
      <w:pPr>
        <w:spacing w:line="440" w:lineRule="exact"/>
        <w:ind w:firstLine="480" w:firstLineChars="200"/>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XXXX</w:t>
      </w:r>
      <w:r>
        <w:rPr>
          <w:rFonts w:hint="eastAsia" w:ascii="仿宋_GB2312" w:hAnsi="仿宋_GB2312" w:eastAsia="仿宋_GB2312" w:cs="仿宋"/>
        </w:rPr>
        <w:t>（加盖公章）</w:t>
      </w:r>
    </w:p>
    <w:p w14:paraId="77C5F94F">
      <w:pPr>
        <w:spacing w:line="440" w:lineRule="exact"/>
        <w:ind w:firstLine="480" w:firstLineChars="200"/>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14:paraId="751F7D54">
      <w:pPr>
        <w:tabs>
          <w:tab w:val="left" w:pos="761"/>
        </w:tabs>
        <w:spacing w:line="360" w:lineRule="auto"/>
        <w:rPr>
          <w:rFonts w:ascii="仿宋_GB2312" w:hAnsi="仿宋_GB2312" w:eastAsia="仿宋_GB2312"/>
          <w:sz w:val="32"/>
          <w:szCs w:val="32"/>
        </w:rPr>
      </w:pPr>
    </w:p>
    <w:p w14:paraId="54E26479">
      <w:pPr>
        <w:spacing w:line="360" w:lineRule="auto"/>
        <w:rPr>
          <w:rFonts w:ascii="仿宋_GB2312" w:hAnsi="仿宋_GB2312" w:eastAsia="仿宋_GB2312"/>
          <w:b/>
          <w:bCs/>
          <w:sz w:val="32"/>
          <w:szCs w:val="32"/>
        </w:rPr>
      </w:pPr>
      <w:r>
        <w:rPr>
          <w:rFonts w:ascii="仿宋_GB2312" w:hAnsi="仿宋_GB2312" w:eastAsia="仿宋_GB2312"/>
          <w:sz w:val="32"/>
          <w:szCs w:val="32"/>
        </w:rPr>
        <w:br w:type="page"/>
      </w: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4</w:t>
      </w:r>
    </w:p>
    <w:p w14:paraId="0E2D566F">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四、报价函</w:t>
      </w:r>
    </w:p>
    <w:p w14:paraId="41D5F2EC">
      <w:pPr>
        <w:spacing w:line="360" w:lineRule="auto"/>
        <w:rPr>
          <w:rFonts w:ascii="仿宋_GB2312" w:hAnsi="仿宋_GB2312" w:eastAsia="仿宋_GB2312" w:cs="仿宋"/>
          <w:u w:val="single"/>
        </w:rPr>
      </w:pPr>
    </w:p>
    <w:p w14:paraId="70A133F1">
      <w:pPr>
        <w:spacing w:line="360" w:lineRule="auto"/>
        <w:rPr>
          <w:rFonts w:ascii="仿宋_GB2312" w:hAnsi="仿宋_GB2312" w:eastAsia="仿宋_GB2312" w:cs="仿宋"/>
        </w:rPr>
      </w:pPr>
      <w:r>
        <w:rPr>
          <w:rFonts w:ascii="仿宋_GB2312" w:hAnsi="仿宋_GB2312" w:eastAsia="仿宋_GB2312" w:cs="仿宋"/>
          <w:u w:val="single"/>
        </w:rPr>
        <w:t>XXXXXXX</w:t>
      </w:r>
      <w:r>
        <w:rPr>
          <w:rFonts w:hint="eastAsia" w:ascii="仿宋_GB2312" w:hAnsi="仿宋_GB2312" w:eastAsia="仿宋_GB2312" w:cs="仿宋"/>
        </w:rPr>
        <w:t>（采购人名称）</w:t>
      </w:r>
      <w:r>
        <w:rPr>
          <w:rFonts w:ascii="仿宋_GB2312" w:hAnsi="仿宋_GB2312" w:eastAsia="仿宋_GB2312" w:cs="仿宋"/>
        </w:rPr>
        <w:t xml:space="preserve">: </w:t>
      </w:r>
    </w:p>
    <w:p w14:paraId="7743477B">
      <w:pPr>
        <w:pStyle w:val="28"/>
        <w:numPr>
          <w:ilvl w:val="0"/>
          <w:numId w:val="2"/>
        </w:numPr>
        <w:tabs>
          <w:tab w:val="left" w:pos="227"/>
        </w:tabs>
        <w:spacing w:line="360" w:lineRule="auto"/>
        <w:ind w:firstLineChars="0"/>
        <w:rPr>
          <w:rFonts w:ascii="仿宋_GB2312" w:hAnsi="仿宋_GB2312" w:eastAsia="仿宋_GB2312"/>
        </w:rPr>
      </w:pPr>
      <w:r>
        <w:rPr>
          <w:rFonts w:hint="eastAsia" w:ascii="仿宋_GB2312" w:hAnsi="仿宋_GB2312" w:eastAsia="仿宋_GB2312" w:cs="仿宋"/>
        </w:rPr>
        <w:t>我方己仔细研究了（项目名称）谈判文件的全部内容，愿意以人民币（大写）</w:t>
      </w:r>
    </w:p>
    <w:p w14:paraId="4C1C7DA8">
      <w:pPr>
        <w:pStyle w:val="28"/>
        <w:spacing w:line="360" w:lineRule="auto"/>
        <w:ind w:left="-50" w:leftChars="-21" w:firstLine="0" w:firstLineChars="0"/>
        <w:rPr>
          <w:rFonts w:ascii="仿宋_GB2312" w:hAnsi="仿宋_GB2312" w:eastAsia="仿宋_GB2312"/>
        </w:rPr>
      </w:pPr>
      <w:r>
        <w:rPr>
          <w:rFonts w:ascii="仿宋_GB2312" w:hAnsi="仿宋_GB2312" w:eastAsia="仿宋_GB2312" w:cs="仿宋"/>
          <w:u w:val="single"/>
        </w:rPr>
        <w:t>XX</w:t>
      </w:r>
      <w:r>
        <w:rPr>
          <w:rFonts w:hint="eastAsia" w:ascii="仿宋_GB2312" w:hAnsi="仿宋_GB2312" w:eastAsia="仿宋_GB2312" w:cs="仿宋"/>
        </w:rPr>
        <w:t>（￥）的基础报价</w:t>
      </w:r>
      <w:r>
        <w:rPr>
          <w:rFonts w:hint="eastAsia" w:ascii="仿宋_GB2312" w:hAnsi="仿宋_GB2312" w:eastAsia="仿宋_GB2312" w:cs="仿宋"/>
          <w:lang w:eastAsia="zh-CN"/>
        </w:rPr>
        <w:t>，</w:t>
      </w:r>
      <w:r>
        <w:rPr>
          <w:rFonts w:hint="eastAsia" w:ascii="仿宋_GB2312" w:hAnsi="仿宋_GB2312" w:eastAsia="仿宋_GB2312" w:cs="仿宋"/>
        </w:rPr>
        <w:t>时间：合同签订日起至诉讼完成。</w:t>
      </w:r>
    </w:p>
    <w:p w14:paraId="2FA8357C">
      <w:pPr>
        <w:spacing w:line="360" w:lineRule="auto"/>
        <w:rPr>
          <w:rFonts w:ascii="仿宋_GB2312" w:hAnsi="仿宋_GB2312" w:eastAsia="仿宋_GB2312"/>
        </w:rPr>
      </w:pPr>
      <w:r>
        <w:rPr>
          <w:rFonts w:ascii="仿宋_GB2312" w:hAnsi="仿宋_GB2312" w:eastAsia="仿宋_GB2312" w:cs="仿宋"/>
        </w:rPr>
        <w:t>2</w:t>
      </w:r>
      <w:r>
        <w:rPr>
          <w:rFonts w:hint="eastAsia" w:ascii="仿宋_GB2312" w:hAnsi="仿宋_GB2312" w:eastAsia="仿宋_GB2312" w:cs="仿宋"/>
        </w:rPr>
        <w:t>．如我方成交：</w:t>
      </w:r>
    </w:p>
    <w:p w14:paraId="48C5DF45">
      <w:pPr>
        <w:spacing w:line="360" w:lineRule="auto"/>
        <w:ind w:firstLine="120" w:firstLineChars="50"/>
        <w:rPr>
          <w:rFonts w:ascii="仿宋_GB2312" w:hAnsi="仿宋_GB2312" w:eastAsia="仿宋_GB2312"/>
        </w:rPr>
      </w:pPr>
      <w:r>
        <w:rPr>
          <w:rFonts w:ascii="仿宋_GB2312" w:hAnsi="仿宋_GB2312" w:eastAsia="仿宋_GB2312" w:cs="仿宋"/>
        </w:rPr>
        <w:t>(l</w:t>
      </w:r>
      <w:r>
        <w:rPr>
          <w:rFonts w:hint="eastAsia" w:ascii="仿宋_GB2312" w:hAnsi="仿宋_GB2312" w:eastAsia="仿宋_GB2312" w:cs="仿宋"/>
        </w:rPr>
        <w:t>）我方承诺在收到成交通知书后，在规定的期限内与采购人签订合同。</w:t>
      </w:r>
    </w:p>
    <w:p w14:paraId="696A58B8">
      <w:pPr>
        <w:spacing w:line="360" w:lineRule="auto"/>
        <w:rPr>
          <w:rFonts w:ascii="仿宋_GB2312" w:hAnsi="仿宋_GB2312" w:eastAsia="仿宋_GB2312"/>
        </w:rPr>
      </w:pPr>
      <w:r>
        <w:rPr>
          <w:rFonts w:hint="eastAsia" w:ascii="仿宋_GB2312" w:hAnsi="仿宋_GB2312" w:eastAsia="仿宋_GB2312" w:cs="仿宋"/>
        </w:rPr>
        <w:t>（2）我方将严格履行政府采购合同约定的责任和义务。</w:t>
      </w:r>
    </w:p>
    <w:p w14:paraId="61084022">
      <w:pPr>
        <w:spacing w:line="360" w:lineRule="auto"/>
        <w:rPr>
          <w:rFonts w:ascii="仿宋_GB2312" w:hAnsi="仿宋_GB2312" w:eastAsia="仿宋_GB2312"/>
        </w:rPr>
      </w:pPr>
      <w:r>
        <w:rPr>
          <w:rFonts w:hint="eastAsia" w:ascii="仿宋_GB2312" w:hAnsi="仿宋_GB2312" w:eastAsia="仿宋_GB2312" w:cs="仿宋"/>
        </w:rPr>
        <w:t>（3）我方愿意提供贵单位可能另外要求的，与谈判报价有关的文件资料，并保证我方已提供和将要提供的文件资料是真实、准确的。</w:t>
      </w:r>
    </w:p>
    <w:p w14:paraId="7C2C7718">
      <w:pPr>
        <w:spacing w:line="360" w:lineRule="auto"/>
        <w:rPr>
          <w:rFonts w:ascii="仿宋_GB2312" w:hAnsi="仿宋_GB2312" w:eastAsia="仿宋_GB2312"/>
        </w:rPr>
      </w:pPr>
      <w:r>
        <w:rPr>
          <w:rFonts w:hint="eastAsia" w:ascii="仿宋_GB2312" w:hAnsi="仿宋_GB2312" w:eastAsia="仿宋_GB2312" w:cs="仿宋"/>
        </w:rPr>
        <w:t>（4）（其他补充说明）。</w:t>
      </w:r>
    </w:p>
    <w:p w14:paraId="00E3A2A2">
      <w:pPr>
        <w:adjustRightInd w:val="0"/>
        <w:spacing w:line="360" w:lineRule="auto"/>
        <w:ind w:firstLine="480" w:firstLineChars="200"/>
        <w:rPr>
          <w:rFonts w:ascii="仿宋_GB2312" w:hAnsi="仿宋_GB2312" w:eastAsia="仿宋_GB2312"/>
        </w:rPr>
      </w:pPr>
    </w:p>
    <w:p w14:paraId="6D9F61C5">
      <w:pPr>
        <w:adjustRightInd w:val="0"/>
        <w:spacing w:line="360" w:lineRule="auto"/>
        <w:ind w:firstLine="480" w:firstLineChars="200"/>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w:t>
      </w:r>
      <w:r>
        <w:rPr>
          <w:rFonts w:hint="eastAsia" w:ascii="仿宋_GB2312" w:hAnsi="仿宋_GB2312" w:eastAsia="仿宋_GB2312" w:cs="仿宋"/>
        </w:rPr>
        <w:t>（加盖公章）</w:t>
      </w:r>
    </w:p>
    <w:p w14:paraId="3707AAC3">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通讯地址：</w:t>
      </w:r>
      <w:r>
        <w:rPr>
          <w:rFonts w:ascii="仿宋_GB2312" w:hAnsi="仿宋_GB2312" w:eastAsia="仿宋_GB2312" w:cs="仿宋"/>
        </w:rPr>
        <w:t>XXX</w:t>
      </w:r>
    </w:p>
    <w:p w14:paraId="67DA9DCF">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邮政编码：</w:t>
      </w:r>
      <w:r>
        <w:rPr>
          <w:rFonts w:ascii="仿宋_GB2312" w:hAnsi="仿宋_GB2312" w:eastAsia="仿宋_GB2312" w:cs="仿宋"/>
        </w:rPr>
        <w:t>XXX</w:t>
      </w:r>
    </w:p>
    <w:p w14:paraId="7B32C56A">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联系电话：</w:t>
      </w:r>
      <w:r>
        <w:rPr>
          <w:rFonts w:ascii="仿宋_GB2312" w:hAnsi="仿宋_GB2312" w:eastAsia="仿宋_GB2312" w:cs="仿宋"/>
        </w:rPr>
        <w:t>XXX</w:t>
      </w:r>
    </w:p>
    <w:p w14:paraId="59DFD1C6">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传真：</w:t>
      </w:r>
      <w:r>
        <w:rPr>
          <w:rFonts w:ascii="仿宋_GB2312" w:hAnsi="仿宋_GB2312" w:eastAsia="仿宋_GB2312" w:cs="仿宋"/>
        </w:rPr>
        <w:t>XXX</w:t>
      </w:r>
    </w:p>
    <w:p w14:paraId="452BE3C7">
      <w:pPr>
        <w:spacing w:line="360" w:lineRule="auto"/>
        <w:rPr>
          <w:rFonts w:hint="eastAsia" w:ascii="仿宋_GB2312" w:hAnsi="仿宋_GB2312" w:eastAsia="仿宋_GB2312" w:cs="仿宋"/>
          <w:b/>
          <w:bCs/>
          <w:sz w:val="28"/>
          <w:szCs w:val="28"/>
          <w:lang w:val="en-US" w:eastAsia="zh-CN"/>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r>
        <w:rPr>
          <w:rFonts w:ascii="仿宋_GB2312" w:hAnsi="仿宋_GB2312" w:eastAsia="仿宋_GB2312"/>
          <w:b/>
          <w:bCs/>
          <w:sz w:val="32"/>
          <w:szCs w:val="32"/>
        </w:rPr>
        <w:br w:type="page"/>
      </w: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5</w:t>
      </w:r>
    </w:p>
    <w:p w14:paraId="489D8AED">
      <w:pPr>
        <w:spacing w:line="360" w:lineRule="auto"/>
        <w:jc w:val="center"/>
        <w:rPr>
          <w:rFonts w:ascii="仿宋_GB2312" w:hAnsi="仿宋_GB2312" w:eastAsia="仿宋_GB2312" w:cs="仿宋"/>
          <w:b/>
          <w:bCs/>
          <w:sz w:val="32"/>
          <w:szCs w:val="32"/>
        </w:rPr>
      </w:pPr>
      <w:r>
        <w:rPr>
          <w:rFonts w:hint="eastAsia" w:ascii="仿宋_GB2312" w:hAnsi="仿宋_GB2312" w:eastAsia="仿宋_GB2312" w:cs="仿宋"/>
          <w:b/>
          <w:bCs/>
          <w:sz w:val="32"/>
          <w:szCs w:val="32"/>
          <w:lang w:eastAsia="zh-CN"/>
        </w:rPr>
        <w:t>五</w:t>
      </w:r>
      <w:r>
        <w:rPr>
          <w:rFonts w:hint="eastAsia" w:ascii="仿宋_GB2312" w:hAnsi="仿宋_GB2312" w:eastAsia="仿宋_GB2312" w:cs="仿宋"/>
          <w:b/>
          <w:bCs/>
          <w:sz w:val="32"/>
          <w:szCs w:val="32"/>
        </w:rPr>
        <w:t>、技术、服务、合同条款及其他商务要求应答表</w:t>
      </w:r>
    </w:p>
    <w:p w14:paraId="722DF285">
      <w:pPr>
        <w:spacing w:line="360" w:lineRule="auto"/>
        <w:jc w:val="center"/>
        <w:rPr>
          <w:rFonts w:ascii="仿宋_GB2312" w:hAnsi="仿宋_GB2312" w:eastAsia="仿宋_GB2312"/>
          <w:b/>
          <w:bCs/>
          <w:sz w:val="32"/>
          <w:szCs w:val="32"/>
        </w:rPr>
      </w:pPr>
    </w:p>
    <w:tbl>
      <w:tblPr>
        <w:tblStyle w:val="20"/>
        <w:tblW w:w="8613" w:type="dxa"/>
        <w:tblInd w:w="2" w:type="dxa"/>
        <w:tblLayout w:type="fixed"/>
        <w:tblCellMar>
          <w:top w:w="0" w:type="dxa"/>
          <w:left w:w="108" w:type="dxa"/>
          <w:bottom w:w="0" w:type="dxa"/>
          <w:right w:w="108" w:type="dxa"/>
        </w:tblCellMar>
      </w:tblPr>
      <w:tblGrid>
        <w:gridCol w:w="877"/>
        <w:gridCol w:w="2990"/>
        <w:gridCol w:w="3452"/>
        <w:gridCol w:w="1294"/>
      </w:tblGrid>
      <w:tr w14:paraId="31D08E57">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06F7D1BD">
            <w:pPr>
              <w:spacing w:line="360" w:lineRule="auto"/>
              <w:ind w:right="24" w:rightChars="10"/>
              <w:jc w:val="center"/>
              <w:rPr>
                <w:rFonts w:ascii="仿宋_GB2312" w:hAnsi="仿宋_GB2312" w:eastAsia="仿宋_GB2312"/>
              </w:rPr>
            </w:pPr>
            <w:r>
              <w:rPr>
                <w:rFonts w:hint="eastAsia" w:ascii="仿宋_GB2312" w:hAnsi="仿宋_GB2312" w:eastAsia="仿宋_GB2312" w:cs="仿宋"/>
              </w:rPr>
              <w:t>序号</w:t>
            </w:r>
          </w:p>
        </w:tc>
        <w:tc>
          <w:tcPr>
            <w:tcW w:w="2990" w:type="dxa"/>
            <w:tcBorders>
              <w:top w:val="single" w:color="auto" w:sz="4" w:space="0"/>
              <w:left w:val="nil"/>
              <w:bottom w:val="single" w:color="auto" w:sz="4" w:space="0"/>
              <w:right w:val="single" w:color="auto" w:sz="4" w:space="0"/>
            </w:tcBorders>
            <w:vAlign w:val="center"/>
          </w:tcPr>
          <w:p w14:paraId="383A942D">
            <w:pPr>
              <w:spacing w:line="360" w:lineRule="auto"/>
              <w:ind w:right="24" w:rightChars="10"/>
              <w:jc w:val="center"/>
              <w:rPr>
                <w:rFonts w:ascii="仿宋_GB2312" w:hAnsi="仿宋_GB2312" w:eastAsia="仿宋_GB2312"/>
              </w:rPr>
            </w:pPr>
            <w:r>
              <w:rPr>
                <w:rFonts w:hint="eastAsia" w:ascii="仿宋_GB2312" w:hAnsi="仿宋_GB2312" w:eastAsia="仿宋_GB2312" w:cs="仿宋"/>
              </w:rPr>
              <w:t>项目</w:t>
            </w:r>
          </w:p>
        </w:tc>
        <w:tc>
          <w:tcPr>
            <w:tcW w:w="3452" w:type="dxa"/>
            <w:tcBorders>
              <w:top w:val="single" w:color="auto" w:sz="4" w:space="0"/>
              <w:left w:val="nil"/>
              <w:bottom w:val="single" w:color="auto" w:sz="4" w:space="0"/>
              <w:right w:val="single" w:color="auto" w:sz="4" w:space="0"/>
            </w:tcBorders>
            <w:vAlign w:val="center"/>
          </w:tcPr>
          <w:p w14:paraId="505F66E9">
            <w:pPr>
              <w:spacing w:line="360" w:lineRule="auto"/>
              <w:ind w:right="24" w:rightChars="10"/>
              <w:jc w:val="center"/>
              <w:rPr>
                <w:rFonts w:ascii="仿宋_GB2312" w:hAnsi="仿宋_GB2312" w:eastAsia="仿宋_GB2312"/>
              </w:rPr>
            </w:pPr>
            <w:r>
              <w:rPr>
                <w:rFonts w:hint="eastAsia" w:ascii="仿宋_GB2312" w:hAnsi="仿宋_GB2312" w:eastAsia="仿宋_GB2312" w:cs="仿宋"/>
              </w:rPr>
              <w:t>响应内容</w:t>
            </w:r>
          </w:p>
        </w:tc>
        <w:tc>
          <w:tcPr>
            <w:tcW w:w="1294" w:type="dxa"/>
            <w:tcBorders>
              <w:top w:val="single" w:color="auto" w:sz="4" w:space="0"/>
              <w:left w:val="nil"/>
              <w:bottom w:val="single" w:color="auto" w:sz="4" w:space="0"/>
              <w:right w:val="single" w:color="auto" w:sz="4" w:space="0"/>
            </w:tcBorders>
            <w:vAlign w:val="center"/>
          </w:tcPr>
          <w:p w14:paraId="76527D82">
            <w:pPr>
              <w:spacing w:line="360" w:lineRule="auto"/>
              <w:ind w:right="24" w:rightChars="10"/>
              <w:jc w:val="center"/>
              <w:rPr>
                <w:rFonts w:ascii="仿宋_GB2312" w:hAnsi="仿宋_GB2312" w:eastAsia="仿宋_GB2312"/>
              </w:rPr>
            </w:pPr>
            <w:r>
              <w:rPr>
                <w:rFonts w:hint="eastAsia" w:ascii="仿宋_GB2312" w:hAnsi="仿宋_GB2312" w:eastAsia="仿宋_GB2312" w:cs="仿宋"/>
              </w:rPr>
              <w:t>备注</w:t>
            </w:r>
          </w:p>
        </w:tc>
      </w:tr>
      <w:tr w14:paraId="30B312CE">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435DFE06">
            <w:pPr>
              <w:spacing w:line="360" w:lineRule="auto"/>
              <w:ind w:right="24" w:rightChars="10"/>
              <w:jc w:val="center"/>
              <w:rPr>
                <w:rFonts w:ascii="仿宋_GB2312" w:hAnsi="仿宋_GB2312" w:eastAsia="仿宋_GB2312"/>
              </w:rPr>
            </w:pPr>
            <w:r>
              <w:rPr>
                <w:rFonts w:ascii="仿宋_GB2312" w:hAnsi="仿宋_GB2312" w:eastAsia="仿宋_GB2312" w:cs="仿宋"/>
              </w:rPr>
              <w:t>1</w:t>
            </w:r>
          </w:p>
        </w:tc>
        <w:tc>
          <w:tcPr>
            <w:tcW w:w="2990" w:type="dxa"/>
            <w:tcBorders>
              <w:top w:val="single" w:color="auto" w:sz="4" w:space="0"/>
              <w:left w:val="nil"/>
              <w:bottom w:val="single" w:color="auto" w:sz="4" w:space="0"/>
              <w:right w:val="single" w:color="auto" w:sz="4" w:space="0"/>
            </w:tcBorders>
            <w:vAlign w:val="center"/>
          </w:tcPr>
          <w:p w14:paraId="3D948E15">
            <w:pPr>
              <w:spacing w:line="360" w:lineRule="auto"/>
              <w:jc w:val="center"/>
              <w:rPr>
                <w:rFonts w:ascii="仿宋_GB2312" w:hAnsi="仿宋_GB2312" w:eastAsia="仿宋_GB2312"/>
              </w:rPr>
            </w:pPr>
          </w:p>
        </w:tc>
        <w:tc>
          <w:tcPr>
            <w:tcW w:w="3452" w:type="dxa"/>
            <w:tcBorders>
              <w:top w:val="single" w:color="auto" w:sz="4" w:space="0"/>
              <w:left w:val="nil"/>
              <w:bottom w:val="single" w:color="auto" w:sz="4" w:space="0"/>
              <w:right w:val="single" w:color="auto" w:sz="4" w:space="0"/>
            </w:tcBorders>
            <w:vAlign w:val="center"/>
          </w:tcPr>
          <w:p w14:paraId="06ABE883">
            <w:pPr>
              <w:pStyle w:val="26"/>
              <w:rPr>
                <w:rFonts w:hint="default" w:ascii="仿宋_GB2312" w:hAnsi="仿宋_GB2312" w:eastAsia="仿宋_GB2312"/>
              </w:rPr>
            </w:pPr>
          </w:p>
        </w:tc>
        <w:tc>
          <w:tcPr>
            <w:tcW w:w="1294" w:type="dxa"/>
            <w:tcBorders>
              <w:top w:val="single" w:color="auto" w:sz="4" w:space="0"/>
              <w:left w:val="nil"/>
              <w:bottom w:val="single" w:color="auto" w:sz="4" w:space="0"/>
              <w:right w:val="single" w:color="auto" w:sz="4" w:space="0"/>
            </w:tcBorders>
            <w:vAlign w:val="center"/>
          </w:tcPr>
          <w:p w14:paraId="095BD8CE">
            <w:pPr>
              <w:spacing w:line="360" w:lineRule="auto"/>
              <w:ind w:right="24" w:rightChars="10"/>
              <w:jc w:val="center"/>
              <w:rPr>
                <w:rFonts w:ascii="仿宋_GB2312" w:hAnsi="仿宋_GB2312" w:eastAsia="仿宋_GB2312"/>
              </w:rPr>
            </w:pPr>
          </w:p>
        </w:tc>
      </w:tr>
      <w:tr w14:paraId="07B44843">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318F251C">
            <w:pPr>
              <w:spacing w:line="360" w:lineRule="auto"/>
              <w:ind w:right="24" w:rightChars="10"/>
              <w:jc w:val="center"/>
              <w:rPr>
                <w:rFonts w:ascii="仿宋_GB2312" w:hAnsi="仿宋_GB2312" w:eastAsia="仿宋_GB2312"/>
              </w:rPr>
            </w:pPr>
            <w:r>
              <w:rPr>
                <w:rFonts w:ascii="仿宋_GB2312" w:hAnsi="仿宋_GB2312" w:eastAsia="仿宋_GB2312" w:cs="仿宋"/>
              </w:rPr>
              <w:t>2</w:t>
            </w:r>
          </w:p>
        </w:tc>
        <w:tc>
          <w:tcPr>
            <w:tcW w:w="2990" w:type="dxa"/>
            <w:tcBorders>
              <w:top w:val="single" w:color="auto" w:sz="4" w:space="0"/>
              <w:left w:val="nil"/>
              <w:bottom w:val="single" w:color="auto" w:sz="4" w:space="0"/>
              <w:right w:val="single" w:color="auto" w:sz="4" w:space="0"/>
            </w:tcBorders>
            <w:vAlign w:val="center"/>
          </w:tcPr>
          <w:p w14:paraId="4D6F0CD4">
            <w:pPr>
              <w:spacing w:line="360" w:lineRule="auto"/>
              <w:jc w:val="center"/>
              <w:rPr>
                <w:rFonts w:ascii="仿宋_GB2312" w:hAnsi="仿宋_GB2312" w:eastAsia="仿宋_GB2312"/>
              </w:rPr>
            </w:pPr>
          </w:p>
        </w:tc>
        <w:tc>
          <w:tcPr>
            <w:tcW w:w="3452" w:type="dxa"/>
            <w:tcBorders>
              <w:top w:val="single" w:color="auto" w:sz="4" w:space="0"/>
              <w:left w:val="nil"/>
              <w:bottom w:val="single" w:color="auto" w:sz="4" w:space="0"/>
              <w:right w:val="single" w:color="auto" w:sz="4" w:space="0"/>
            </w:tcBorders>
            <w:vAlign w:val="center"/>
          </w:tcPr>
          <w:p w14:paraId="1C9D4CB5">
            <w:pPr>
              <w:pStyle w:val="26"/>
              <w:rPr>
                <w:rFonts w:hint="default" w:ascii="仿宋_GB2312" w:hAnsi="仿宋_GB2312" w:eastAsia="仿宋_GB2312"/>
              </w:rPr>
            </w:pPr>
          </w:p>
        </w:tc>
        <w:tc>
          <w:tcPr>
            <w:tcW w:w="1294" w:type="dxa"/>
            <w:tcBorders>
              <w:top w:val="single" w:color="auto" w:sz="4" w:space="0"/>
              <w:left w:val="nil"/>
              <w:bottom w:val="single" w:color="auto" w:sz="4" w:space="0"/>
              <w:right w:val="single" w:color="auto" w:sz="4" w:space="0"/>
            </w:tcBorders>
            <w:vAlign w:val="center"/>
          </w:tcPr>
          <w:p w14:paraId="03001F2D">
            <w:pPr>
              <w:spacing w:line="360" w:lineRule="auto"/>
              <w:ind w:right="24" w:rightChars="10"/>
              <w:jc w:val="center"/>
              <w:rPr>
                <w:rFonts w:ascii="仿宋_GB2312" w:hAnsi="仿宋_GB2312" w:eastAsia="仿宋_GB2312"/>
              </w:rPr>
            </w:pPr>
          </w:p>
        </w:tc>
      </w:tr>
      <w:tr w14:paraId="3AEF55D9">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14:paraId="40C138B1">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c>
          <w:tcPr>
            <w:tcW w:w="2990" w:type="dxa"/>
            <w:tcBorders>
              <w:top w:val="single" w:color="auto" w:sz="4" w:space="0"/>
              <w:left w:val="nil"/>
              <w:bottom w:val="single" w:color="auto" w:sz="4" w:space="0"/>
              <w:right w:val="single" w:color="auto" w:sz="4" w:space="0"/>
            </w:tcBorders>
            <w:vAlign w:val="center"/>
          </w:tcPr>
          <w:p w14:paraId="60E07AA3">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c>
          <w:tcPr>
            <w:tcW w:w="3452" w:type="dxa"/>
            <w:tcBorders>
              <w:top w:val="single" w:color="auto" w:sz="4" w:space="0"/>
              <w:left w:val="nil"/>
              <w:bottom w:val="single" w:color="auto" w:sz="4" w:space="0"/>
              <w:right w:val="single" w:color="auto" w:sz="4" w:space="0"/>
            </w:tcBorders>
            <w:vAlign w:val="center"/>
          </w:tcPr>
          <w:p w14:paraId="12DD29E7">
            <w:pPr>
              <w:spacing w:line="360" w:lineRule="auto"/>
              <w:jc w:val="center"/>
              <w:rPr>
                <w:rFonts w:ascii="仿宋_GB2312" w:hAnsi="仿宋_GB2312" w:eastAsia="仿宋_GB2312"/>
              </w:rPr>
            </w:pPr>
            <w:r>
              <w:rPr>
                <w:rFonts w:hint="eastAsia" w:ascii="仿宋_GB2312" w:hAnsi="仿宋_GB2312" w:eastAsia="仿宋_GB2312" w:cs="仿宋"/>
              </w:rPr>
              <w:t>…</w:t>
            </w:r>
          </w:p>
        </w:tc>
        <w:tc>
          <w:tcPr>
            <w:tcW w:w="1294" w:type="dxa"/>
            <w:tcBorders>
              <w:top w:val="single" w:color="auto" w:sz="4" w:space="0"/>
              <w:left w:val="nil"/>
              <w:bottom w:val="single" w:color="auto" w:sz="4" w:space="0"/>
              <w:right w:val="single" w:color="auto" w:sz="4" w:space="0"/>
            </w:tcBorders>
            <w:vAlign w:val="center"/>
          </w:tcPr>
          <w:p w14:paraId="2288F81F">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r>
    </w:tbl>
    <w:p w14:paraId="21BCEFA5">
      <w:pPr>
        <w:spacing w:line="360" w:lineRule="auto"/>
        <w:ind w:firstLine="482" w:firstLineChars="200"/>
        <w:rPr>
          <w:rFonts w:ascii="仿宋_GB2312" w:hAnsi="仿宋_GB2312" w:eastAsia="仿宋_GB2312"/>
          <w:b/>
          <w:bCs/>
        </w:rPr>
      </w:pPr>
    </w:p>
    <w:p w14:paraId="0A2AA2B6">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注：供应商必须根据谈判文件第三章要求据实逐条填写，不得虚假陈述。</w:t>
      </w:r>
    </w:p>
    <w:p w14:paraId="3AF83799">
      <w:pPr>
        <w:spacing w:line="360" w:lineRule="auto"/>
        <w:ind w:firstLine="482" w:firstLineChars="200"/>
        <w:rPr>
          <w:rFonts w:ascii="仿宋_GB2312" w:hAnsi="仿宋_GB2312" w:eastAsia="仿宋_GB2312"/>
          <w:b/>
          <w:bCs/>
        </w:rPr>
      </w:pPr>
    </w:p>
    <w:p w14:paraId="04EC2FFC">
      <w:pPr>
        <w:spacing w:line="360" w:lineRule="auto"/>
        <w:ind w:firstLine="482" w:firstLineChars="200"/>
        <w:rPr>
          <w:rFonts w:ascii="仿宋_GB2312" w:hAnsi="仿宋_GB2312" w:eastAsia="仿宋_GB2312"/>
          <w:b/>
          <w:bCs/>
        </w:rPr>
      </w:pPr>
    </w:p>
    <w:p w14:paraId="494A7F4C">
      <w:pPr>
        <w:adjustRightInd w:val="0"/>
        <w:spacing w:line="360" w:lineRule="auto"/>
        <w:ind w:firstLine="480" w:firstLineChars="200"/>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w:t>
      </w:r>
      <w:r>
        <w:rPr>
          <w:rFonts w:hint="eastAsia" w:ascii="仿宋_GB2312" w:hAnsi="仿宋_GB2312" w:eastAsia="仿宋_GB2312" w:cs="仿宋"/>
        </w:rPr>
        <w:t>（加盖公章）</w:t>
      </w:r>
    </w:p>
    <w:p w14:paraId="53DFF379">
      <w:pPr>
        <w:adjustRightInd w:val="0"/>
        <w:spacing w:line="360" w:lineRule="auto"/>
        <w:ind w:firstLine="540" w:firstLineChars="225"/>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14:paraId="2F455D3F">
      <w:pPr>
        <w:ind w:firstLine="562" w:firstLineChars="200"/>
        <w:rPr>
          <w:rFonts w:hint="eastAsia" w:ascii="仿宋_GB2312" w:hAnsi="仿宋_GB2312" w:eastAsia="仿宋_GB2312" w:cs="仿宋"/>
          <w:b/>
          <w:bCs/>
          <w:sz w:val="28"/>
          <w:szCs w:val="28"/>
        </w:rPr>
      </w:pPr>
    </w:p>
    <w:p w14:paraId="57EE0E75">
      <w:pPr>
        <w:ind w:firstLine="562" w:firstLineChars="200"/>
        <w:rPr>
          <w:rFonts w:hint="eastAsia" w:ascii="仿宋_GB2312" w:hAnsi="仿宋_GB2312" w:eastAsia="仿宋_GB2312" w:cs="仿宋"/>
          <w:b/>
          <w:bCs/>
          <w:sz w:val="28"/>
          <w:szCs w:val="28"/>
        </w:rPr>
      </w:pPr>
    </w:p>
    <w:p w14:paraId="3F2DA012">
      <w:pPr>
        <w:ind w:firstLine="562" w:firstLineChars="200"/>
        <w:rPr>
          <w:rFonts w:hint="eastAsia" w:ascii="仿宋_GB2312" w:hAnsi="仿宋_GB2312" w:eastAsia="仿宋_GB2312" w:cs="仿宋"/>
          <w:b/>
          <w:bCs/>
          <w:sz w:val="28"/>
          <w:szCs w:val="28"/>
        </w:rPr>
      </w:pPr>
    </w:p>
    <w:p w14:paraId="4B04C352">
      <w:pPr>
        <w:ind w:firstLine="562" w:firstLineChars="200"/>
        <w:rPr>
          <w:rFonts w:hint="eastAsia" w:ascii="仿宋_GB2312" w:hAnsi="仿宋_GB2312" w:eastAsia="仿宋_GB2312" w:cs="仿宋"/>
          <w:b/>
          <w:bCs/>
          <w:sz w:val="28"/>
          <w:szCs w:val="28"/>
        </w:rPr>
      </w:pPr>
    </w:p>
    <w:p w14:paraId="75341F69">
      <w:pPr>
        <w:ind w:firstLine="562" w:firstLineChars="200"/>
        <w:rPr>
          <w:rFonts w:hint="eastAsia" w:ascii="仿宋_GB2312" w:hAnsi="仿宋_GB2312" w:eastAsia="仿宋_GB2312" w:cs="仿宋"/>
          <w:b/>
          <w:bCs/>
          <w:sz w:val="28"/>
          <w:szCs w:val="28"/>
        </w:rPr>
      </w:pPr>
    </w:p>
    <w:p w14:paraId="2EB042E8">
      <w:pPr>
        <w:ind w:firstLine="562" w:firstLineChars="200"/>
        <w:rPr>
          <w:rFonts w:hint="eastAsia" w:ascii="仿宋_GB2312" w:hAnsi="仿宋_GB2312" w:eastAsia="仿宋_GB2312" w:cs="仿宋"/>
          <w:b/>
          <w:bCs/>
          <w:sz w:val="28"/>
          <w:szCs w:val="28"/>
        </w:rPr>
      </w:pPr>
    </w:p>
    <w:p w14:paraId="43758558">
      <w:pPr>
        <w:ind w:firstLine="562" w:firstLineChars="200"/>
        <w:rPr>
          <w:rFonts w:hint="eastAsia" w:ascii="仿宋_GB2312" w:hAnsi="仿宋_GB2312" w:eastAsia="仿宋_GB2312" w:cs="仿宋"/>
          <w:b/>
          <w:bCs/>
          <w:sz w:val="28"/>
          <w:szCs w:val="28"/>
        </w:rPr>
      </w:pPr>
    </w:p>
    <w:p w14:paraId="7DA87E4F">
      <w:pPr>
        <w:ind w:firstLine="562" w:firstLineChars="200"/>
        <w:rPr>
          <w:rFonts w:hint="eastAsia" w:ascii="仿宋_GB2312" w:hAnsi="仿宋_GB2312" w:eastAsia="仿宋_GB2312" w:cs="仿宋"/>
          <w:b/>
          <w:bCs/>
          <w:sz w:val="28"/>
          <w:szCs w:val="28"/>
        </w:rPr>
      </w:pPr>
    </w:p>
    <w:p w14:paraId="510BFEEA">
      <w:pPr>
        <w:ind w:firstLine="562" w:firstLineChars="200"/>
        <w:rPr>
          <w:rFonts w:hint="eastAsia" w:ascii="仿宋_GB2312" w:hAnsi="仿宋_GB2312" w:eastAsia="仿宋_GB2312" w:cs="仿宋"/>
          <w:b/>
          <w:bCs/>
          <w:sz w:val="28"/>
          <w:szCs w:val="28"/>
        </w:rPr>
      </w:pPr>
    </w:p>
    <w:p w14:paraId="45F4122B">
      <w:pPr>
        <w:ind w:firstLine="562" w:firstLineChars="200"/>
        <w:rPr>
          <w:rFonts w:hint="eastAsia" w:ascii="仿宋_GB2312" w:hAnsi="仿宋_GB2312" w:eastAsia="仿宋_GB2312" w:cs="仿宋"/>
          <w:b/>
          <w:bCs/>
          <w:sz w:val="28"/>
          <w:szCs w:val="28"/>
        </w:rPr>
      </w:pPr>
    </w:p>
    <w:p w14:paraId="6B159143">
      <w:pPr>
        <w:ind w:firstLine="562" w:firstLineChars="200"/>
        <w:rPr>
          <w:rFonts w:hint="eastAsia" w:ascii="仿宋_GB2312" w:hAnsi="仿宋_GB2312" w:eastAsia="仿宋_GB2312" w:cs="仿宋"/>
          <w:b/>
          <w:bCs/>
          <w:sz w:val="28"/>
          <w:szCs w:val="28"/>
          <w:lang w:eastAsia="zh-CN"/>
        </w:rPr>
      </w:pP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6</w:t>
      </w:r>
    </w:p>
    <w:p w14:paraId="3FA9CA0A">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六、供应商类似项目业绩</w:t>
      </w:r>
    </w:p>
    <w:p w14:paraId="31226D24">
      <w:pPr>
        <w:spacing w:line="360" w:lineRule="auto"/>
        <w:rPr>
          <w:rFonts w:ascii="仿宋_GB2312" w:hAnsi="仿宋_GB2312" w:eastAsia="仿宋_GB2312"/>
        </w:rPr>
      </w:pPr>
    </w:p>
    <w:p w14:paraId="37E6FAEC">
      <w:pPr>
        <w:spacing w:line="360" w:lineRule="auto"/>
        <w:rPr>
          <w:rFonts w:ascii="仿宋_GB2312" w:hAnsi="仿宋_GB2312" w:eastAsia="仿宋_GB2312"/>
        </w:rPr>
      </w:pPr>
    </w:p>
    <w:p w14:paraId="64FBF168">
      <w:pPr>
        <w:spacing w:line="360" w:lineRule="auto"/>
        <w:rPr>
          <w:rFonts w:ascii="仿宋_GB2312" w:hAnsi="仿宋_GB2312" w:eastAsia="仿宋_GB2312"/>
        </w:rPr>
      </w:pPr>
    </w:p>
    <w:p w14:paraId="174E1E84">
      <w:pPr>
        <w:spacing w:line="360" w:lineRule="auto"/>
        <w:rPr>
          <w:rFonts w:ascii="仿宋_GB2312" w:hAnsi="仿宋_GB2312" w:eastAsia="仿宋_GB2312"/>
        </w:rPr>
      </w:pPr>
    </w:p>
    <w:p w14:paraId="36B84345">
      <w:pPr>
        <w:spacing w:line="360" w:lineRule="auto"/>
        <w:ind w:left="360"/>
        <w:jc w:val="center"/>
        <w:rPr>
          <w:rFonts w:ascii="仿宋_GB2312" w:hAnsi="仿宋_GB2312" w:eastAsia="仿宋_GB2312"/>
        </w:rPr>
      </w:pPr>
    </w:p>
    <w:p w14:paraId="5BCBB89C">
      <w:pPr>
        <w:spacing w:line="360" w:lineRule="auto"/>
        <w:ind w:left="360"/>
        <w:jc w:val="center"/>
        <w:rPr>
          <w:rFonts w:ascii="仿宋_GB2312" w:hAnsi="仿宋_GB2312" w:eastAsia="仿宋_GB2312"/>
        </w:rPr>
      </w:pPr>
    </w:p>
    <w:p w14:paraId="38139ECA">
      <w:pPr>
        <w:spacing w:line="360" w:lineRule="auto"/>
        <w:ind w:left="360"/>
        <w:jc w:val="center"/>
        <w:rPr>
          <w:rFonts w:ascii="仿宋_GB2312" w:hAnsi="仿宋_GB2312" w:eastAsia="仿宋_GB2312"/>
        </w:rPr>
      </w:pPr>
    </w:p>
    <w:p w14:paraId="1F5FCDF9">
      <w:pPr>
        <w:spacing w:line="360" w:lineRule="auto"/>
        <w:ind w:left="360"/>
        <w:jc w:val="center"/>
        <w:rPr>
          <w:rFonts w:ascii="仿宋_GB2312" w:hAnsi="仿宋_GB2312" w:eastAsia="仿宋_GB2312"/>
        </w:rPr>
      </w:pPr>
    </w:p>
    <w:p w14:paraId="0F8267C8">
      <w:pPr>
        <w:spacing w:line="360" w:lineRule="auto"/>
        <w:ind w:left="360"/>
        <w:jc w:val="center"/>
        <w:rPr>
          <w:rFonts w:ascii="仿宋_GB2312" w:hAnsi="仿宋_GB2312" w:eastAsia="仿宋_GB2312"/>
        </w:rPr>
      </w:pPr>
    </w:p>
    <w:p w14:paraId="26D318AA">
      <w:pPr>
        <w:spacing w:line="360" w:lineRule="auto"/>
        <w:ind w:left="360"/>
        <w:jc w:val="center"/>
        <w:rPr>
          <w:rFonts w:ascii="仿宋_GB2312" w:hAnsi="仿宋_GB2312" w:eastAsia="仿宋_GB2312"/>
        </w:rPr>
      </w:pPr>
    </w:p>
    <w:p w14:paraId="302DFC6C">
      <w:pPr>
        <w:spacing w:line="360" w:lineRule="auto"/>
        <w:rPr>
          <w:rFonts w:ascii="仿宋_GB2312" w:hAnsi="仿宋_GB2312" w:eastAsia="仿宋_GB2312"/>
        </w:rPr>
      </w:pPr>
    </w:p>
    <w:p w14:paraId="6590503D">
      <w:pPr>
        <w:spacing w:line="360" w:lineRule="auto"/>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XXXX</w:t>
      </w:r>
      <w:r>
        <w:rPr>
          <w:rFonts w:hint="eastAsia" w:ascii="仿宋_GB2312" w:hAnsi="仿宋_GB2312" w:eastAsia="仿宋_GB2312" w:cs="仿宋"/>
        </w:rPr>
        <w:t>（盖单位公章）</w:t>
      </w:r>
    </w:p>
    <w:p w14:paraId="7DD27F0C">
      <w:pPr>
        <w:adjustRightInd w:val="0"/>
        <w:spacing w:line="360" w:lineRule="auto"/>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14:paraId="4D9D8A81">
      <w:pPr>
        <w:rPr>
          <w:rFonts w:ascii="仿宋_GB2312" w:hAnsi="仿宋_GB2312" w:eastAsia="仿宋_GB2312"/>
        </w:rPr>
      </w:pPr>
    </w:p>
    <w:p w14:paraId="18BFC70B">
      <w:pPr>
        <w:rPr>
          <w:rFonts w:hint="eastAsia" w:ascii="仿宋_GB2312" w:hAnsi="仿宋_GB2312" w:eastAsia="仿宋_GB2312" w:cs="仿宋"/>
          <w:b/>
          <w:bCs/>
          <w:sz w:val="28"/>
          <w:szCs w:val="28"/>
          <w:lang w:eastAsia="zh-CN"/>
        </w:rPr>
      </w:pPr>
      <w:r>
        <w:rPr>
          <w:rFonts w:ascii="仿宋_GB2312" w:hAnsi="仿宋_GB2312" w:eastAsia="仿宋_GB2312"/>
          <w:sz w:val="32"/>
          <w:szCs w:val="32"/>
        </w:rPr>
        <w:br w:type="page"/>
      </w: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7</w:t>
      </w:r>
    </w:p>
    <w:p w14:paraId="2EEF66DB">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七、法律团队</w:t>
      </w:r>
    </w:p>
    <w:p w14:paraId="077363A7">
      <w:pPr>
        <w:spacing w:line="360" w:lineRule="auto"/>
        <w:rPr>
          <w:rFonts w:ascii="仿宋_GB2312" w:hAnsi="仿宋_GB2312" w:eastAsia="仿宋_GB2312"/>
          <w:sz w:val="32"/>
          <w:szCs w:val="32"/>
        </w:rPr>
      </w:pPr>
    </w:p>
    <w:p w14:paraId="38DDE3F5">
      <w:pPr>
        <w:spacing w:line="360" w:lineRule="auto"/>
        <w:jc w:val="center"/>
        <w:rPr>
          <w:rFonts w:ascii="仿宋_GB2312" w:hAnsi="仿宋_GB2312" w:eastAsia="仿宋_GB2312"/>
          <w:b/>
          <w:bCs/>
        </w:rPr>
      </w:pPr>
      <w:r>
        <w:rPr>
          <w:rFonts w:ascii="仿宋_GB2312" w:hAnsi="仿宋_GB2312" w:eastAsia="仿宋_GB2312" w:cs="仿宋"/>
          <w:b/>
          <w:bCs/>
        </w:rPr>
        <w:t xml:space="preserve"> (</w:t>
      </w:r>
      <w:r>
        <w:rPr>
          <w:rFonts w:hint="eastAsia" w:ascii="仿宋_GB2312" w:hAnsi="仿宋_GB2312" w:eastAsia="仿宋_GB2312" w:cs="仿宋"/>
          <w:b/>
          <w:bCs/>
        </w:rPr>
        <w:t>一</w:t>
      </w:r>
      <w:r>
        <w:rPr>
          <w:rFonts w:ascii="仿宋_GB2312" w:hAnsi="仿宋_GB2312" w:eastAsia="仿宋_GB2312" w:cs="仿宋"/>
          <w:b/>
          <w:bCs/>
        </w:rPr>
        <w:t>)</w:t>
      </w:r>
      <w:r>
        <w:rPr>
          <w:rFonts w:hint="eastAsia" w:ascii="仿宋_GB2312" w:hAnsi="仿宋_GB2312" w:eastAsia="仿宋_GB2312" w:cs="仿宋"/>
          <w:b/>
          <w:bCs/>
        </w:rPr>
        <w:t>团队组成表</w:t>
      </w:r>
    </w:p>
    <w:p w14:paraId="2D188699">
      <w:pPr>
        <w:autoSpaceDE w:val="0"/>
        <w:autoSpaceDN w:val="0"/>
        <w:adjustRightInd w:val="0"/>
        <w:spacing w:line="360" w:lineRule="auto"/>
        <w:ind w:left="220" w:right="-20"/>
        <w:jc w:val="center"/>
        <w:rPr>
          <w:rFonts w:ascii="仿宋_GB2312" w:hAnsi="仿宋_GB2312" w:eastAsia="仿宋_GB2312"/>
          <w:b/>
          <w:bCs/>
        </w:rPr>
      </w:pPr>
    </w:p>
    <w:tbl>
      <w:tblPr>
        <w:tblStyle w:val="20"/>
        <w:tblW w:w="8372" w:type="dxa"/>
        <w:jc w:val="center"/>
        <w:tblLayout w:type="fixed"/>
        <w:tblCellMar>
          <w:top w:w="0" w:type="dxa"/>
          <w:left w:w="0" w:type="dxa"/>
          <w:bottom w:w="0" w:type="dxa"/>
          <w:right w:w="0" w:type="dxa"/>
        </w:tblCellMar>
      </w:tblPr>
      <w:tblGrid>
        <w:gridCol w:w="857"/>
        <w:gridCol w:w="1695"/>
        <w:gridCol w:w="1423"/>
        <w:gridCol w:w="2155"/>
        <w:gridCol w:w="2242"/>
      </w:tblGrid>
      <w:tr w14:paraId="30710705">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14:paraId="1FBA4F0E">
            <w:pPr>
              <w:spacing w:line="360" w:lineRule="auto"/>
              <w:jc w:val="center"/>
              <w:rPr>
                <w:rFonts w:ascii="仿宋_GB2312" w:hAnsi="仿宋_GB2312" w:eastAsia="仿宋_GB2312"/>
              </w:rPr>
            </w:pPr>
            <w:r>
              <w:rPr>
                <w:rFonts w:hint="eastAsia" w:ascii="仿宋_GB2312" w:hAnsi="仿宋_GB2312" w:eastAsia="仿宋_GB2312" w:cs="仿宋"/>
              </w:rPr>
              <w:t>序号</w:t>
            </w:r>
          </w:p>
        </w:tc>
        <w:tc>
          <w:tcPr>
            <w:tcW w:w="1695" w:type="dxa"/>
            <w:vMerge w:val="restart"/>
            <w:tcBorders>
              <w:top w:val="single" w:color="auto" w:sz="4" w:space="0"/>
              <w:left w:val="nil"/>
              <w:right w:val="single" w:color="auto" w:sz="4" w:space="0"/>
            </w:tcBorders>
            <w:vAlign w:val="center"/>
          </w:tcPr>
          <w:p w14:paraId="0EF914F4">
            <w:pPr>
              <w:spacing w:line="360" w:lineRule="auto"/>
              <w:jc w:val="center"/>
              <w:rPr>
                <w:rFonts w:ascii="仿宋_GB2312" w:hAnsi="仿宋_GB2312" w:eastAsia="仿宋_GB2312"/>
              </w:rPr>
            </w:pPr>
            <w:r>
              <w:rPr>
                <w:rFonts w:hint="eastAsia" w:ascii="仿宋_GB2312" w:hAnsi="仿宋_GB2312" w:eastAsia="仿宋_GB2312" w:cs="仿宋"/>
              </w:rPr>
              <w:t>职务</w:t>
            </w:r>
          </w:p>
        </w:tc>
        <w:tc>
          <w:tcPr>
            <w:tcW w:w="1423" w:type="dxa"/>
            <w:vMerge w:val="restart"/>
            <w:tcBorders>
              <w:top w:val="single" w:color="auto" w:sz="4" w:space="0"/>
              <w:left w:val="nil"/>
              <w:right w:val="single" w:color="auto" w:sz="4" w:space="0"/>
            </w:tcBorders>
            <w:vAlign w:val="center"/>
          </w:tcPr>
          <w:p w14:paraId="70DFD384">
            <w:pPr>
              <w:spacing w:line="360" w:lineRule="auto"/>
              <w:jc w:val="center"/>
              <w:rPr>
                <w:rFonts w:ascii="仿宋_GB2312" w:hAnsi="仿宋_GB2312" w:eastAsia="仿宋_GB2312"/>
              </w:rPr>
            </w:pPr>
            <w:r>
              <w:rPr>
                <w:rFonts w:hint="eastAsia" w:ascii="仿宋_GB2312" w:hAnsi="仿宋_GB2312" w:eastAsia="仿宋_GB2312" w:cs="仿宋"/>
              </w:rPr>
              <w:t>姓名</w:t>
            </w:r>
          </w:p>
        </w:tc>
        <w:tc>
          <w:tcPr>
            <w:tcW w:w="4397" w:type="dxa"/>
            <w:gridSpan w:val="2"/>
            <w:tcBorders>
              <w:top w:val="single" w:color="auto" w:sz="4" w:space="0"/>
              <w:left w:val="nil"/>
              <w:bottom w:val="single" w:color="auto" w:sz="4" w:space="0"/>
              <w:right w:val="single" w:color="auto" w:sz="4" w:space="0"/>
            </w:tcBorders>
            <w:vAlign w:val="center"/>
          </w:tcPr>
          <w:p w14:paraId="134ABAE8">
            <w:pPr>
              <w:spacing w:line="360" w:lineRule="auto"/>
              <w:jc w:val="center"/>
              <w:rPr>
                <w:rFonts w:ascii="仿宋_GB2312" w:hAnsi="仿宋_GB2312" w:eastAsia="仿宋_GB2312"/>
              </w:rPr>
            </w:pPr>
            <w:r>
              <w:rPr>
                <w:rFonts w:hint="eastAsia" w:ascii="仿宋_GB2312" w:hAnsi="仿宋_GB2312" w:eastAsia="仿宋_GB2312" w:cs="仿宋"/>
              </w:rPr>
              <w:t>执业或职业资格</w:t>
            </w:r>
          </w:p>
        </w:tc>
      </w:tr>
      <w:tr w14:paraId="6D3754B5">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14:paraId="7E19964D">
            <w:pPr>
              <w:spacing w:line="360" w:lineRule="auto"/>
              <w:jc w:val="center"/>
              <w:rPr>
                <w:rFonts w:ascii="仿宋_GB2312" w:hAnsi="仿宋_GB2312" w:eastAsia="仿宋_GB2312"/>
              </w:rPr>
            </w:pPr>
          </w:p>
        </w:tc>
        <w:tc>
          <w:tcPr>
            <w:tcW w:w="1695" w:type="dxa"/>
            <w:vMerge w:val="continue"/>
            <w:tcBorders>
              <w:left w:val="nil"/>
              <w:bottom w:val="single" w:color="auto" w:sz="4" w:space="0"/>
              <w:right w:val="single" w:color="auto" w:sz="4" w:space="0"/>
            </w:tcBorders>
            <w:vAlign w:val="center"/>
          </w:tcPr>
          <w:p w14:paraId="420FDFEA">
            <w:pPr>
              <w:spacing w:line="360" w:lineRule="auto"/>
              <w:jc w:val="center"/>
              <w:rPr>
                <w:rFonts w:ascii="仿宋_GB2312" w:hAnsi="仿宋_GB2312" w:eastAsia="仿宋_GB2312"/>
              </w:rPr>
            </w:pPr>
          </w:p>
        </w:tc>
        <w:tc>
          <w:tcPr>
            <w:tcW w:w="1423" w:type="dxa"/>
            <w:vMerge w:val="continue"/>
            <w:tcBorders>
              <w:left w:val="nil"/>
              <w:bottom w:val="single" w:color="auto" w:sz="4" w:space="0"/>
              <w:right w:val="single" w:color="auto" w:sz="4" w:space="0"/>
            </w:tcBorders>
            <w:vAlign w:val="center"/>
          </w:tcPr>
          <w:p w14:paraId="598C5194">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14:paraId="7B1B72F6">
            <w:pPr>
              <w:spacing w:line="360" w:lineRule="auto"/>
              <w:jc w:val="center"/>
              <w:rPr>
                <w:rFonts w:ascii="仿宋_GB2312" w:hAnsi="仿宋_GB2312" w:eastAsia="仿宋_GB2312"/>
              </w:rPr>
            </w:pPr>
            <w:r>
              <w:rPr>
                <w:rFonts w:hint="eastAsia" w:ascii="仿宋_GB2312" w:hAnsi="仿宋_GB2312" w:eastAsia="仿宋_GB2312" w:cs="仿宋"/>
              </w:rPr>
              <w:t>证书名称</w:t>
            </w:r>
          </w:p>
        </w:tc>
        <w:tc>
          <w:tcPr>
            <w:tcW w:w="2242" w:type="dxa"/>
            <w:tcBorders>
              <w:top w:val="single" w:color="auto" w:sz="4" w:space="0"/>
              <w:left w:val="nil"/>
              <w:bottom w:val="single" w:color="auto" w:sz="4" w:space="0"/>
              <w:right w:val="single" w:color="auto" w:sz="4" w:space="0"/>
            </w:tcBorders>
            <w:vAlign w:val="center"/>
          </w:tcPr>
          <w:p w14:paraId="256E091A">
            <w:pPr>
              <w:spacing w:line="360" w:lineRule="auto"/>
              <w:jc w:val="center"/>
              <w:rPr>
                <w:rFonts w:ascii="仿宋_GB2312" w:hAnsi="仿宋_GB2312" w:eastAsia="仿宋_GB2312"/>
              </w:rPr>
            </w:pPr>
            <w:r>
              <w:rPr>
                <w:rFonts w:hint="eastAsia" w:ascii="仿宋_GB2312" w:hAnsi="仿宋_GB2312" w:eastAsia="仿宋_GB2312" w:cs="仿宋"/>
              </w:rPr>
              <w:t>证书编号</w:t>
            </w:r>
          </w:p>
        </w:tc>
      </w:tr>
      <w:tr w14:paraId="139B1D3D">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0F1846C0">
            <w:pPr>
              <w:spacing w:line="360" w:lineRule="auto"/>
              <w:jc w:val="center"/>
              <w:rPr>
                <w:rFonts w:ascii="仿宋_GB2312" w:hAnsi="仿宋_GB2312" w:eastAsia="仿宋_GB2312"/>
              </w:rPr>
            </w:pPr>
            <w:r>
              <w:rPr>
                <w:rFonts w:ascii="仿宋_GB2312" w:hAnsi="仿宋_GB2312" w:eastAsia="仿宋_GB2312" w:cs="仿宋"/>
              </w:rPr>
              <w:t>1</w:t>
            </w:r>
          </w:p>
        </w:tc>
        <w:tc>
          <w:tcPr>
            <w:tcW w:w="1695" w:type="dxa"/>
            <w:tcBorders>
              <w:top w:val="single" w:color="auto" w:sz="4" w:space="0"/>
              <w:left w:val="nil"/>
              <w:bottom w:val="single" w:color="auto" w:sz="4" w:space="0"/>
              <w:right w:val="single" w:color="auto" w:sz="4" w:space="0"/>
            </w:tcBorders>
            <w:vAlign w:val="center"/>
          </w:tcPr>
          <w:p w14:paraId="426CECA9">
            <w:pPr>
              <w:spacing w:line="360" w:lineRule="auto"/>
              <w:jc w:val="center"/>
              <w:rPr>
                <w:rFonts w:ascii="仿宋_GB2312" w:hAnsi="仿宋_GB2312" w:eastAsia="仿宋_GB2312"/>
              </w:rPr>
            </w:pPr>
            <w:r>
              <w:rPr>
                <w:rFonts w:hint="eastAsia" w:ascii="仿宋_GB2312" w:hAnsi="仿宋_GB2312" w:eastAsia="仿宋_GB2312" w:cs="仿宋"/>
              </w:rPr>
              <w:t>负责人</w:t>
            </w:r>
          </w:p>
        </w:tc>
        <w:tc>
          <w:tcPr>
            <w:tcW w:w="1423" w:type="dxa"/>
            <w:tcBorders>
              <w:top w:val="single" w:color="auto" w:sz="4" w:space="0"/>
              <w:left w:val="nil"/>
              <w:bottom w:val="single" w:color="auto" w:sz="4" w:space="0"/>
              <w:right w:val="single" w:color="auto" w:sz="4" w:space="0"/>
            </w:tcBorders>
            <w:vAlign w:val="center"/>
          </w:tcPr>
          <w:p w14:paraId="65236E4F">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14:paraId="0CF04798">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14:paraId="530CC9EE">
            <w:pPr>
              <w:spacing w:line="360" w:lineRule="auto"/>
              <w:jc w:val="center"/>
              <w:rPr>
                <w:rFonts w:ascii="仿宋_GB2312" w:hAnsi="仿宋_GB2312" w:eastAsia="仿宋_GB2312"/>
              </w:rPr>
            </w:pPr>
          </w:p>
        </w:tc>
      </w:tr>
      <w:tr w14:paraId="4F2167DD">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682D4B41">
            <w:pPr>
              <w:spacing w:line="360" w:lineRule="auto"/>
              <w:jc w:val="center"/>
              <w:rPr>
                <w:rFonts w:ascii="仿宋_GB2312" w:hAnsi="仿宋_GB2312" w:eastAsia="仿宋_GB2312" w:cs="仿宋"/>
              </w:rPr>
            </w:pPr>
            <w:r>
              <w:rPr>
                <w:rFonts w:ascii="仿宋_GB2312" w:hAnsi="仿宋_GB2312" w:eastAsia="仿宋_GB2312" w:cs="仿宋"/>
              </w:rPr>
              <w:t>2</w:t>
            </w:r>
          </w:p>
        </w:tc>
        <w:tc>
          <w:tcPr>
            <w:tcW w:w="1695" w:type="dxa"/>
            <w:tcBorders>
              <w:top w:val="single" w:color="auto" w:sz="4" w:space="0"/>
              <w:left w:val="nil"/>
              <w:bottom w:val="single" w:color="auto" w:sz="4" w:space="0"/>
              <w:right w:val="single" w:color="auto" w:sz="4" w:space="0"/>
            </w:tcBorders>
            <w:vAlign w:val="center"/>
          </w:tcPr>
          <w:p w14:paraId="487ABBB7">
            <w:pPr>
              <w:spacing w:line="360" w:lineRule="auto"/>
              <w:rPr>
                <w:rFonts w:ascii="仿宋_GB2312" w:hAnsi="仿宋_GB2312" w:eastAsia="仿宋_GB2312"/>
              </w:rPr>
            </w:pPr>
          </w:p>
        </w:tc>
        <w:tc>
          <w:tcPr>
            <w:tcW w:w="1423" w:type="dxa"/>
            <w:tcBorders>
              <w:top w:val="single" w:color="auto" w:sz="4" w:space="0"/>
              <w:left w:val="nil"/>
              <w:bottom w:val="single" w:color="auto" w:sz="4" w:space="0"/>
              <w:right w:val="single" w:color="auto" w:sz="4" w:space="0"/>
            </w:tcBorders>
            <w:vAlign w:val="center"/>
          </w:tcPr>
          <w:p w14:paraId="3490C0C5">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14:paraId="2200075E">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14:paraId="5048A19F">
            <w:pPr>
              <w:spacing w:line="360" w:lineRule="auto"/>
              <w:jc w:val="center"/>
              <w:rPr>
                <w:rFonts w:ascii="仿宋_GB2312" w:hAnsi="仿宋_GB2312" w:eastAsia="仿宋_GB2312"/>
              </w:rPr>
            </w:pPr>
          </w:p>
        </w:tc>
      </w:tr>
      <w:tr w14:paraId="0A509893">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66DABCF4">
            <w:pPr>
              <w:spacing w:line="360" w:lineRule="auto"/>
              <w:jc w:val="center"/>
              <w:rPr>
                <w:rFonts w:ascii="仿宋_GB2312" w:hAnsi="仿宋_GB2312" w:eastAsia="仿宋_GB2312" w:cs="仿宋"/>
              </w:rPr>
            </w:pPr>
            <w:r>
              <w:rPr>
                <w:rFonts w:ascii="仿宋_GB2312" w:hAnsi="仿宋_GB2312" w:eastAsia="仿宋_GB2312" w:cs="仿宋"/>
              </w:rPr>
              <w:t>3</w:t>
            </w:r>
          </w:p>
        </w:tc>
        <w:tc>
          <w:tcPr>
            <w:tcW w:w="1695" w:type="dxa"/>
            <w:tcBorders>
              <w:top w:val="single" w:color="auto" w:sz="4" w:space="0"/>
              <w:left w:val="nil"/>
              <w:bottom w:val="single" w:color="auto" w:sz="4" w:space="0"/>
              <w:right w:val="single" w:color="auto" w:sz="4" w:space="0"/>
            </w:tcBorders>
            <w:vAlign w:val="center"/>
          </w:tcPr>
          <w:p w14:paraId="7EA04B19">
            <w:pPr>
              <w:spacing w:line="360" w:lineRule="auto"/>
              <w:jc w:val="center"/>
              <w:rPr>
                <w:rFonts w:ascii="仿宋_GB2312" w:hAnsi="仿宋_GB2312" w:eastAsia="仿宋_GB2312"/>
              </w:rPr>
            </w:pPr>
          </w:p>
        </w:tc>
        <w:tc>
          <w:tcPr>
            <w:tcW w:w="1423" w:type="dxa"/>
            <w:tcBorders>
              <w:top w:val="single" w:color="auto" w:sz="4" w:space="0"/>
              <w:left w:val="nil"/>
              <w:bottom w:val="single" w:color="auto" w:sz="4" w:space="0"/>
              <w:right w:val="single" w:color="auto" w:sz="4" w:space="0"/>
            </w:tcBorders>
            <w:vAlign w:val="center"/>
          </w:tcPr>
          <w:p w14:paraId="2EBC7E55">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14:paraId="24356699">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14:paraId="21BBE154">
            <w:pPr>
              <w:spacing w:line="360" w:lineRule="auto"/>
              <w:jc w:val="center"/>
              <w:rPr>
                <w:rFonts w:ascii="仿宋_GB2312" w:hAnsi="仿宋_GB2312" w:eastAsia="仿宋_GB2312"/>
              </w:rPr>
            </w:pPr>
          </w:p>
        </w:tc>
      </w:tr>
      <w:tr w14:paraId="67976393">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18CD5D3">
            <w:pPr>
              <w:spacing w:line="360" w:lineRule="auto"/>
              <w:jc w:val="center"/>
              <w:rPr>
                <w:rFonts w:ascii="仿宋_GB2312" w:hAnsi="仿宋_GB2312" w:eastAsia="仿宋_GB2312" w:cs="仿宋"/>
              </w:rPr>
            </w:pPr>
            <w:r>
              <w:rPr>
                <w:rFonts w:ascii="仿宋_GB2312" w:hAnsi="仿宋_GB2312" w:eastAsia="仿宋_GB2312" w:cs="仿宋"/>
              </w:rPr>
              <w:t>4</w:t>
            </w:r>
          </w:p>
        </w:tc>
        <w:tc>
          <w:tcPr>
            <w:tcW w:w="1695" w:type="dxa"/>
            <w:tcBorders>
              <w:top w:val="single" w:color="auto" w:sz="4" w:space="0"/>
              <w:left w:val="nil"/>
              <w:bottom w:val="single" w:color="auto" w:sz="4" w:space="0"/>
              <w:right w:val="single" w:color="auto" w:sz="4" w:space="0"/>
            </w:tcBorders>
            <w:vAlign w:val="center"/>
          </w:tcPr>
          <w:p w14:paraId="55AA97C0">
            <w:pPr>
              <w:spacing w:line="360" w:lineRule="auto"/>
              <w:jc w:val="center"/>
              <w:rPr>
                <w:rFonts w:ascii="仿宋_GB2312" w:hAnsi="仿宋_GB2312" w:eastAsia="仿宋_GB2312"/>
              </w:rPr>
            </w:pPr>
          </w:p>
        </w:tc>
        <w:tc>
          <w:tcPr>
            <w:tcW w:w="1423" w:type="dxa"/>
            <w:tcBorders>
              <w:top w:val="single" w:color="auto" w:sz="4" w:space="0"/>
              <w:left w:val="nil"/>
              <w:bottom w:val="single" w:color="auto" w:sz="4" w:space="0"/>
              <w:right w:val="single" w:color="auto" w:sz="4" w:space="0"/>
            </w:tcBorders>
            <w:vAlign w:val="center"/>
          </w:tcPr>
          <w:p w14:paraId="4BF925E5">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14:paraId="5DD9D99A">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14:paraId="56988BC4">
            <w:pPr>
              <w:spacing w:line="360" w:lineRule="auto"/>
              <w:jc w:val="center"/>
              <w:rPr>
                <w:rFonts w:ascii="仿宋_GB2312" w:hAnsi="仿宋_GB2312" w:eastAsia="仿宋_GB2312"/>
              </w:rPr>
            </w:pPr>
          </w:p>
        </w:tc>
      </w:tr>
      <w:tr w14:paraId="4B4A6A3F">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37760DA0">
            <w:pPr>
              <w:spacing w:line="360" w:lineRule="auto"/>
              <w:jc w:val="center"/>
              <w:rPr>
                <w:rFonts w:ascii="仿宋_GB2312" w:hAnsi="仿宋_GB2312" w:eastAsia="仿宋_GB2312" w:cs="仿宋"/>
              </w:rPr>
            </w:pPr>
            <w:r>
              <w:rPr>
                <w:rFonts w:ascii="仿宋_GB2312" w:hAnsi="仿宋_GB2312" w:eastAsia="仿宋_GB2312" w:cs="仿宋"/>
              </w:rPr>
              <w:t>5</w:t>
            </w:r>
          </w:p>
        </w:tc>
        <w:tc>
          <w:tcPr>
            <w:tcW w:w="1695" w:type="dxa"/>
            <w:tcBorders>
              <w:top w:val="single" w:color="auto" w:sz="4" w:space="0"/>
              <w:left w:val="nil"/>
              <w:bottom w:val="single" w:color="auto" w:sz="4" w:space="0"/>
              <w:right w:val="single" w:color="auto" w:sz="4" w:space="0"/>
            </w:tcBorders>
            <w:vAlign w:val="center"/>
          </w:tcPr>
          <w:p w14:paraId="1E83AE5D">
            <w:pPr>
              <w:spacing w:line="360" w:lineRule="auto"/>
              <w:jc w:val="center"/>
              <w:rPr>
                <w:rFonts w:ascii="仿宋_GB2312" w:hAnsi="仿宋_GB2312" w:eastAsia="仿宋_GB2312"/>
              </w:rPr>
            </w:pPr>
          </w:p>
        </w:tc>
        <w:tc>
          <w:tcPr>
            <w:tcW w:w="1423" w:type="dxa"/>
            <w:tcBorders>
              <w:top w:val="single" w:color="auto" w:sz="4" w:space="0"/>
              <w:left w:val="nil"/>
              <w:bottom w:val="single" w:color="auto" w:sz="4" w:space="0"/>
              <w:right w:val="single" w:color="auto" w:sz="4" w:space="0"/>
            </w:tcBorders>
            <w:vAlign w:val="center"/>
          </w:tcPr>
          <w:p w14:paraId="2027D6CD">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14:paraId="5C960759">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14:paraId="35BDB0E9">
            <w:pPr>
              <w:spacing w:line="360" w:lineRule="auto"/>
              <w:jc w:val="center"/>
              <w:rPr>
                <w:rFonts w:ascii="仿宋_GB2312" w:hAnsi="仿宋_GB2312" w:eastAsia="仿宋_GB2312"/>
              </w:rPr>
            </w:pPr>
          </w:p>
        </w:tc>
      </w:tr>
      <w:tr w14:paraId="118B3B90">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06E34DDA">
            <w:pPr>
              <w:spacing w:line="360" w:lineRule="auto"/>
              <w:jc w:val="center"/>
              <w:rPr>
                <w:rFonts w:ascii="仿宋_GB2312" w:hAnsi="仿宋_GB2312" w:eastAsia="仿宋_GB2312"/>
              </w:rPr>
            </w:pPr>
            <w:r>
              <w:rPr>
                <w:rFonts w:hint="eastAsia" w:ascii="仿宋_GB2312" w:hAnsi="仿宋_GB2312" w:eastAsia="仿宋_GB2312" w:cs="仿宋"/>
              </w:rPr>
              <w:t>…</w:t>
            </w:r>
          </w:p>
        </w:tc>
        <w:tc>
          <w:tcPr>
            <w:tcW w:w="1695" w:type="dxa"/>
            <w:tcBorders>
              <w:top w:val="single" w:color="auto" w:sz="4" w:space="0"/>
              <w:left w:val="nil"/>
              <w:bottom w:val="single" w:color="auto" w:sz="4" w:space="0"/>
              <w:right w:val="single" w:color="auto" w:sz="4" w:space="0"/>
            </w:tcBorders>
            <w:vAlign w:val="center"/>
          </w:tcPr>
          <w:p w14:paraId="5C2E4E27">
            <w:pPr>
              <w:spacing w:line="360" w:lineRule="auto"/>
              <w:jc w:val="center"/>
              <w:rPr>
                <w:rFonts w:ascii="仿宋_GB2312" w:hAnsi="仿宋_GB2312" w:eastAsia="仿宋_GB2312"/>
              </w:rPr>
            </w:pPr>
            <w:r>
              <w:rPr>
                <w:rFonts w:hint="eastAsia" w:ascii="仿宋_GB2312" w:hAnsi="仿宋_GB2312" w:eastAsia="仿宋_GB2312" w:cs="仿宋"/>
              </w:rPr>
              <w:t>…</w:t>
            </w:r>
          </w:p>
        </w:tc>
        <w:tc>
          <w:tcPr>
            <w:tcW w:w="1423" w:type="dxa"/>
            <w:tcBorders>
              <w:top w:val="single" w:color="auto" w:sz="4" w:space="0"/>
              <w:left w:val="nil"/>
              <w:bottom w:val="single" w:color="auto" w:sz="4" w:space="0"/>
              <w:right w:val="single" w:color="auto" w:sz="4" w:space="0"/>
            </w:tcBorders>
            <w:vAlign w:val="center"/>
          </w:tcPr>
          <w:p w14:paraId="333689AC">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14:paraId="3E5A25D6">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14:paraId="7416D8FE">
            <w:pPr>
              <w:spacing w:line="360" w:lineRule="auto"/>
              <w:jc w:val="center"/>
              <w:rPr>
                <w:rFonts w:ascii="仿宋_GB2312" w:hAnsi="仿宋_GB2312" w:eastAsia="仿宋_GB2312"/>
              </w:rPr>
            </w:pPr>
          </w:p>
        </w:tc>
      </w:tr>
    </w:tbl>
    <w:p w14:paraId="5D5EBBC0">
      <w:pPr>
        <w:spacing w:line="360" w:lineRule="auto"/>
        <w:rPr>
          <w:rFonts w:ascii="仿宋_GB2312" w:hAnsi="仿宋_GB2312" w:eastAsia="仿宋_GB2312"/>
        </w:rPr>
      </w:pPr>
    </w:p>
    <w:p w14:paraId="0C02DF07">
      <w:pPr>
        <w:spacing w:line="360" w:lineRule="auto"/>
        <w:ind w:left="410" w:leftChars="171"/>
        <w:rPr>
          <w:rFonts w:ascii="仿宋_GB2312" w:hAnsi="仿宋_GB2312" w:eastAsia="仿宋_GB2312"/>
        </w:rPr>
      </w:pPr>
    </w:p>
    <w:p w14:paraId="0C892335">
      <w:pPr>
        <w:spacing w:line="360" w:lineRule="auto"/>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w:t>
      </w:r>
      <w:r>
        <w:rPr>
          <w:rFonts w:hint="eastAsia" w:ascii="仿宋_GB2312" w:hAnsi="仿宋_GB2312" w:eastAsia="仿宋_GB2312" w:cs="仿宋"/>
        </w:rPr>
        <w:t>（加盖公章）</w:t>
      </w:r>
    </w:p>
    <w:p w14:paraId="6CDAD182">
      <w:pPr>
        <w:adjustRightInd w:val="0"/>
        <w:spacing w:line="360" w:lineRule="auto"/>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14:paraId="60A24D63">
      <w:pPr>
        <w:spacing w:line="360" w:lineRule="auto"/>
        <w:jc w:val="center"/>
        <w:rPr>
          <w:rFonts w:ascii="仿宋_GB2312" w:hAnsi="仿宋_GB2312" w:eastAsia="仿宋_GB2312"/>
          <w:b/>
          <w:bCs/>
        </w:rPr>
      </w:pPr>
      <w:r>
        <w:rPr>
          <w:rFonts w:ascii="仿宋_GB2312" w:hAnsi="仿宋_GB2312" w:eastAsia="仿宋_GB2312"/>
        </w:rPr>
        <w:br w:type="page"/>
      </w:r>
      <w:r>
        <w:rPr>
          <w:rFonts w:hint="eastAsia" w:ascii="仿宋_GB2312" w:hAnsi="仿宋_GB2312" w:eastAsia="仿宋_GB2312" w:cs="仿宋"/>
          <w:b/>
          <w:bCs/>
        </w:rPr>
        <w:t>(二</w:t>
      </w:r>
      <w:r>
        <w:rPr>
          <w:rFonts w:ascii="仿宋_GB2312" w:hAnsi="仿宋_GB2312" w:eastAsia="仿宋_GB2312" w:cs="仿宋"/>
          <w:b/>
          <w:bCs/>
        </w:rPr>
        <w:t>)</w:t>
      </w:r>
      <w:r>
        <w:rPr>
          <w:rFonts w:hint="eastAsia" w:ascii="仿宋_GB2312" w:hAnsi="仿宋_GB2312" w:eastAsia="仿宋_GB2312" w:cs="仿宋"/>
          <w:b/>
          <w:bCs/>
        </w:rPr>
        <w:t>主要人员简历表</w:t>
      </w:r>
    </w:p>
    <w:p w14:paraId="0B37DC2A">
      <w:pPr>
        <w:spacing w:line="360" w:lineRule="auto"/>
        <w:rPr>
          <w:rFonts w:ascii="仿宋_GB2312" w:hAnsi="仿宋_GB2312" w:eastAsia="仿宋_GB2312"/>
        </w:rPr>
      </w:pPr>
    </w:p>
    <w:tbl>
      <w:tblPr>
        <w:tblStyle w:val="20"/>
        <w:tblW w:w="9406" w:type="dxa"/>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14:paraId="72C7F707">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14:paraId="799AE2D5">
            <w:pPr>
              <w:spacing w:line="360" w:lineRule="auto"/>
              <w:jc w:val="center"/>
              <w:rPr>
                <w:rFonts w:ascii="仿宋_GB2312" w:hAnsi="仿宋_GB2312" w:eastAsia="仿宋_GB2312"/>
              </w:rPr>
            </w:pPr>
            <w:r>
              <w:rPr>
                <w:rFonts w:hint="eastAsia" w:ascii="仿宋_GB2312" w:hAnsi="仿宋_GB2312" w:eastAsia="仿宋_GB2312" w:cs="仿宋"/>
              </w:rPr>
              <w:t>姓名</w:t>
            </w:r>
          </w:p>
        </w:tc>
        <w:tc>
          <w:tcPr>
            <w:tcW w:w="1240" w:type="dxa"/>
            <w:gridSpan w:val="2"/>
            <w:tcBorders>
              <w:top w:val="single" w:color="auto" w:sz="4" w:space="0"/>
              <w:left w:val="nil"/>
              <w:bottom w:val="single" w:color="auto" w:sz="4" w:space="0"/>
              <w:right w:val="single" w:color="auto" w:sz="4" w:space="0"/>
            </w:tcBorders>
          </w:tcPr>
          <w:p w14:paraId="7DD937A1">
            <w:pPr>
              <w:spacing w:line="360" w:lineRule="auto"/>
              <w:jc w:val="center"/>
              <w:rPr>
                <w:rFonts w:ascii="仿宋_GB2312" w:hAnsi="仿宋_GB2312" w:eastAsia="仿宋_GB2312"/>
              </w:rPr>
            </w:pPr>
          </w:p>
        </w:tc>
        <w:tc>
          <w:tcPr>
            <w:tcW w:w="1134" w:type="dxa"/>
            <w:tcBorders>
              <w:top w:val="single" w:color="auto" w:sz="4" w:space="0"/>
              <w:left w:val="nil"/>
              <w:bottom w:val="single" w:color="auto" w:sz="4" w:space="0"/>
              <w:right w:val="single" w:color="auto" w:sz="4" w:space="0"/>
            </w:tcBorders>
            <w:vAlign w:val="center"/>
          </w:tcPr>
          <w:p w14:paraId="38E10563">
            <w:pPr>
              <w:spacing w:line="360" w:lineRule="auto"/>
              <w:jc w:val="center"/>
              <w:rPr>
                <w:rFonts w:ascii="仿宋_GB2312" w:hAnsi="仿宋_GB2312" w:eastAsia="仿宋_GB2312"/>
              </w:rPr>
            </w:pPr>
            <w:r>
              <w:rPr>
                <w:rFonts w:hint="eastAsia" w:ascii="仿宋_GB2312" w:hAnsi="仿宋_GB2312" w:eastAsia="仿宋_GB2312" w:cs="仿宋"/>
              </w:rPr>
              <w:t>年龄</w:t>
            </w:r>
          </w:p>
        </w:tc>
        <w:tc>
          <w:tcPr>
            <w:tcW w:w="5437" w:type="dxa"/>
            <w:gridSpan w:val="3"/>
            <w:tcBorders>
              <w:top w:val="single" w:color="auto" w:sz="4" w:space="0"/>
              <w:left w:val="nil"/>
              <w:bottom w:val="single" w:color="auto" w:sz="4" w:space="0"/>
              <w:right w:val="single" w:color="auto" w:sz="4" w:space="0"/>
            </w:tcBorders>
          </w:tcPr>
          <w:p w14:paraId="3D127330">
            <w:pPr>
              <w:spacing w:line="360" w:lineRule="auto"/>
              <w:jc w:val="center"/>
              <w:rPr>
                <w:rFonts w:ascii="仿宋_GB2312" w:hAnsi="仿宋_GB2312" w:eastAsia="仿宋_GB2312"/>
              </w:rPr>
            </w:pPr>
          </w:p>
        </w:tc>
      </w:tr>
      <w:tr w14:paraId="26792BB9">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14:paraId="3CF3BFBF">
            <w:pPr>
              <w:spacing w:line="360" w:lineRule="auto"/>
              <w:jc w:val="center"/>
              <w:rPr>
                <w:rFonts w:ascii="仿宋_GB2312" w:hAnsi="仿宋_GB2312" w:eastAsia="仿宋_GB2312"/>
              </w:rPr>
            </w:pPr>
            <w:r>
              <w:rPr>
                <w:rFonts w:hint="eastAsia" w:ascii="仿宋_GB2312" w:hAnsi="仿宋_GB2312" w:eastAsia="仿宋_GB2312" w:cs="仿宋"/>
              </w:rPr>
              <w:t>职称</w:t>
            </w:r>
          </w:p>
        </w:tc>
        <w:tc>
          <w:tcPr>
            <w:tcW w:w="1240" w:type="dxa"/>
            <w:gridSpan w:val="2"/>
            <w:tcBorders>
              <w:top w:val="single" w:color="auto" w:sz="4" w:space="0"/>
              <w:left w:val="nil"/>
              <w:bottom w:val="single" w:color="auto" w:sz="4" w:space="0"/>
              <w:right w:val="single" w:color="auto" w:sz="4" w:space="0"/>
            </w:tcBorders>
          </w:tcPr>
          <w:p w14:paraId="091347B2">
            <w:pPr>
              <w:spacing w:line="360" w:lineRule="auto"/>
              <w:jc w:val="center"/>
              <w:rPr>
                <w:rFonts w:ascii="仿宋_GB2312" w:hAnsi="仿宋_GB2312" w:eastAsia="仿宋_GB2312"/>
              </w:rPr>
            </w:pPr>
          </w:p>
        </w:tc>
        <w:tc>
          <w:tcPr>
            <w:tcW w:w="1134" w:type="dxa"/>
            <w:tcBorders>
              <w:top w:val="single" w:color="auto" w:sz="4" w:space="0"/>
              <w:left w:val="nil"/>
              <w:bottom w:val="single" w:color="auto" w:sz="4" w:space="0"/>
              <w:right w:val="single" w:color="auto" w:sz="4" w:space="0"/>
            </w:tcBorders>
            <w:vAlign w:val="center"/>
          </w:tcPr>
          <w:p w14:paraId="7CBA3E0C">
            <w:pPr>
              <w:spacing w:line="360" w:lineRule="auto"/>
              <w:jc w:val="center"/>
              <w:rPr>
                <w:rFonts w:ascii="仿宋_GB2312" w:hAnsi="仿宋_GB2312" w:eastAsia="仿宋_GB2312"/>
              </w:rPr>
            </w:pPr>
            <w:r>
              <w:rPr>
                <w:rFonts w:hint="eastAsia" w:ascii="仿宋_GB2312" w:hAnsi="仿宋_GB2312" w:eastAsia="仿宋_GB2312" w:cs="仿宋"/>
              </w:rPr>
              <w:t>职务</w:t>
            </w:r>
          </w:p>
        </w:tc>
        <w:tc>
          <w:tcPr>
            <w:tcW w:w="1276" w:type="dxa"/>
            <w:tcBorders>
              <w:top w:val="single" w:color="auto" w:sz="4" w:space="0"/>
              <w:left w:val="nil"/>
              <w:bottom w:val="single" w:color="auto" w:sz="4" w:space="0"/>
              <w:right w:val="single" w:color="auto" w:sz="4" w:space="0"/>
            </w:tcBorders>
          </w:tcPr>
          <w:p w14:paraId="68558FDC">
            <w:pPr>
              <w:spacing w:line="360" w:lineRule="auto"/>
              <w:jc w:val="center"/>
              <w:rPr>
                <w:rFonts w:ascii="仿宋_GB2312" w:hAnsi="仿宋_GB2312" w:eastAsia="仿宋_GB2312"/>
              </w:rPr>
            </w:pPr>
          </w:p>
        </w:tc>
        <w:tc>
          <w:tcPr>
            <w:tcW w:w="1843" w:type="dxa"/>
            <w:tcBorders>
              <w:top w:val="single" w:color="auto" w:sz="4" w:space="0"/>
              <w:left w:val="nil"/>
              <w:bottom w:val="single" w:color="auto" w:sz="4" w:space="0"/>
              <w:right w:val="single" w:color="auto" w:sz="4" w:space="0"/>
            </w:tcBorders>
            <w:vAlign w:val="center"/>
          </w:tcPr>
          <w:p w14:paraId="4C008167">
            <w:pPr>
              <w:spacing w:line="360" w:lineRule="auto"/>
              <w:jc w:val="center"/>
              <w:rPr>
                <w:rFonts w:ascii="仿宋_GB2312" w:hAnsi="仿宋_GB2312" w:eastAsia="仿宋_GB2312"/>
              </w:rPr>
            </w:pPr>
            <w:r>
              <w:rPr>
                <w:rFonts w:hint="eastAsia" w:ascii="仿宋_GB2312" w:hAnsi="仿宋_GB2312" w:eastAsia="仿宋_GB2312" w:cs="仿宋"/>
              </w:rPr>
              <w:t>拟在本合同任职</w:t>
            </w:r>
          </w:p>
        </w:tc>
        <w:tc>
          <w:tcPr>
            <w:tcW w:w="2318" w:type="dxa"/>
            <w:tcBorders>
              <w:top w:val="single" w:color="auto" w:sz="4" w:space="0"/>
              <w:left w:val="nil"/>
              <w:bottom w:val="single" w:color="auto" w:sz="4" w:space="0"/>
              <w:right w:val="single" w:color="auto" w:sz="4" w:space="0"/>
            </w:tcBorders>
          </w:tcPr>
          <w:p w14:paraId="17B0AD9D">
            <w:pPr>
              <w:spacing w:line="360" w:lineRule="auto"/>
              <w:jc w:val="center"/>
              <w:rPr>
                <w:rFonts w:ascii="仿宋_GB2312" w:hAnsi="仿宋_GB2312" w:eastAsia="仿宋_GB2312"/>
              </w:rPr>
            </w:pPr>
          </w:p>
        </w:tc>
      </w:tr>
      <w:tr w14:paraId="3FB9E0EB">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14:paraId="5C22BCC2">
            <w:pPr>
              <w:spacing w:line="360" w:lineRule="auto"/>
              <w:ind w:firstLine="4800" w:firstLineChars="2000"/>
              <w:rPr>
                <w:rFonts w:ascii="仿宋_GB2312" w:hAnsi="仿宋_GB2312" w:eastAsia="仿宋_GB2312"/>
              </w:rPr>
            </w:pPr>
            <w:r>
              <w:rPr>
                <w:rFonts w:hint="eastAsia" w:ascii="仿宋_GB2312" w:hAnsi="仿宋_GB2312" w:eastAsia="仿宋_GB2312" w:cs="仿宋"/>
              </w:rPr>
              <w:t>主要工作经历</w:t>
            </w:r>
          </w:p>
        </w:tc>
      </w:tr>
      <w:tr w14:paraId="4B0AAA70">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50E7672D">
            <w:pPr>
              <w:spacing w:line="360" w:lineRule="auto"/>
              <w:jc w:val="center"/>
              <w:rPr>
                <w:rFonts w:ascii="仿宋_GB2312" w:hAnsi="仿宋_GB2312" w:eastAsia="仿宋_GB2312"/>
              </w:rPr>
            </w:pPr>
            <w:r>
              <w:rPr>
                <w:rFonts w:hint="eastAsia" w:ascii="仿宋_GB2312" w:hAnsi="仿宋_GB2312" w:eastAsia="仿宋_GB2312" w:cs="仿宋"/>
              </w:rPr>
              <w:t>时间</w:t>
            </w:r>
          </w:p>
        </w:tc>
        <w:tc>
          <w:tcPr>
            <w:tcW w:w="3625" w:type="dxa"/>
            <w:gridSpan w:val="3"/>
            <w:tcBorders>
              <w:top w:val="single" w:color="auto" w:sz="4" w:space="0"/>
              <w:left w:val="nil"/>
              <w:bottom w:val="single" w:color="auto" w:sz="4" w:space="0"/>
              <w:right w:val="single" w:color="auto" w:sz="4" w:space="0"/>
            </w:tcBorders>
            <w:vAlign w:val="center"/>
          </w:tcPr>
          <w:p w14:paraId="04D4243A">
            <w:pPr>
              <w:spacing w:line="360" w:lineRule="auto"/>
              <w:jc w:val="center"/>
              <w:rPr>
                <w:rFonts w:ascii="仿宋_GB2312" w:hAnsi="仿宋_GB2312" w:eastAsia="仿宋_GB2312"/>
              </w:rPr>
            </w:pPr>
            <w:r>
              <w:rPr>
                <w:rFonts w:hint="eastAsia" w:ascii="仿宋_GB2312" w:hAnsi="仿宋_GB2312" w:eastAsia="仿宋_GB2312" w:cs="仿宋"/>
              </w:rPr>
              <w:t>案例名称</w:t>
            </w:r>
          </w:p>
        </w:tc>
        <w:tc>
          <w:tcPr>
            <w:tcW w:w="1843" w:type="dxa"/>
            <w:tcBorders>
              <w:top w:val="single" w:color="auto" w:sz="4" w:space="0"/>
              <w:left w:val="nil"/>
              <w:bottom w:val="single" w:color="auto" w:sz="4" w:space="0"/>
              <w:right w:val="single" w:color="auto" w:sz="4" w:space="0"/>
            </w:tcBorders>
            <w:vAlign w:val="center"/>
          </w:tcPr>
          <w:p w14:paraId="7617305A">
            <w:pPr>
              <w:spacing w:line="360" w:lineRule="auto"/>
              <w:jc w:val="center"/>
              <w:rPr>
                <w:rFonts w:ascii="仿宋_GB2312" w:hAnsi="仿宋_GB2312" w:eastAsia="仿宋_GB2312"/>
              </w:rPr>
            </w:pPr>
            <w:r>
              <w:rPr>
                <w:rFonts w:hint="eastAsia" w:ascii="仿宋_GB2312" w:hAnsi="仿宋_GB2312" w:eastAsia="仿宋_GB2312" w:cs="仿宋"/>
              </w:rPr>
              <w:t>担任职务</w:t>
            </w:r>
          </w:p>
        </w:tc>
        <w:tc>
          <w:tcPr>
            <w:tcW w:w="2318" w:type="dxa"/>
            <w:tcBorders>
              <w:top w:val="single" w:color="auto" w:sz="4" w:space="0"/>
              <w:left w:val="nil"/>
              <w:bottom w:val="single" w:color="auto" w:sz="4" w:space="0"/>
              <w:right w:val="single" w:color="auto" w:sz="4" w:space="0"/>
            </w:tcBorders>
            <w:vAlign w:val="center"/>
          </w:tcPr>
          <w:p w14:paraId="5E96A829">
            <w:pPr>
              <w:spacing w:line="360" w:lineRule="auto"/>
              <w:jc w:val="center"/>
              <w:rPr>
                <w:rFonts w:ascii="仿宋_GB2312" w:hAnsi="仿宋_GB2312" w:eastAsia="仿宋_GB2312"/>
              </w:rPr>
            </w:pPr>
            <w:r>
              <w:rPr>
                <w:rFonts w:hint="eastAsia" w:ascii="仿宋_GB2312" w:hAnsi="仿宋_GB2312" w:eastAsia="仿宋_GB2312" w:cs="仿宋"/>
              </w:rPr>
              <w:t>发包人</w:t>
            </w:r>
          </w:p>
        </w:tc>
      </w:tr>
      <w:tr w14:paraId="2DCEEA48">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49DAA0B0">
            <w:pPr>
              <w:spacing w:line="360" w:lineRule="auto"/>
              <w:jc w:val="center"/>
              <w:rPr>
                <w:rFonts w:ascii="仿宋_GB2312" w:hAnsi="仿宋_GB2312" w:eastAsia="仿宋_GB2312"/>
              </w:rPr>
            </w:pPr>
          </w:p>
        </w:tc>
        <w:tc>
          <w:tcPr>
            <w:tcW w:w="3625" w:type="dxa"/>
            <w:gridSpan w:val="3"/>
            <w:tcBorders>
              <w:top w:val="single" w:color="auto" w:sz="4" w:space="0"/>
              <w:left w:val="nil"/>
              <w:bottom w:val="single" w:color="auto" w:sz="4" w:space="0"/>
              <w:right w:val="single" w:color="auto" w:sz="4" w:space="0"/>
            </w:tcBorders>
            <w:vAlign w:val="center"/>
          </w:tcPr>
          <w:p w14:paraId="3EB72C54">
            <w:pPr>
              <w:spacing w:line="360" w:lineRule="auto"/>
              <w:jc w:val="center"/>
              <w:rPr>
                <w:rFonts w:ascii="仿宋_GB2312" w:hAnsi="仿宋_GB2312" w:eastAsia="仿宋_GB2312"/>
              </w:rPr>
            </w:pPr>
          </w:p>
        </w:tc>
        <w:tc>
          <w:tcPr>
            <w:tcW w:w="1843" w:type="dxa"/>
            <w:tcBorders>
              <w:top w:val="single" w:color="auto" w:sz="4" w:space="0"/>
              <w:left w:val="nil"/>
              <w:bottom w:val="single" w:color="auto" w:sz="4" w:space="0"/>
              <w:right w:val="single" w:color="auto" w:sz="4" w:space="0"/>
            </w:tcBorders>
            <w:vAlign w:val="center"/>
          </w:tcPr>
          <w:p w14:paraId="3EE23237">
            <w:pPr>
              <w:spacing w:line="360" w:lineRule="auto"/>
              <w:jc w:val="center"/>
              <w:rPr>
                <w:rFonts w:ascii="仿宋_GB2312" w:hAnsi="仿宋_GB2312" w:eastAsia="仿宋_GB2312"/>
              </w:rPr>
            </w:pPr>
          </w:p>
        </w:tc>
        <w:tc>
          <w:tcPr>
            <w:tcW w:w="2318" w:type="dxa"/>
            <w:tcBorders>
              <w:top w:val="single" w:color="auto" w:sz="4" w:space="0"/>
              <w:left w:val="nil"/>
              <w:bottom w:val="single" w:color="auto" w:sz="4" w:space="0"/>
              <w:right w:val="single" w:color="auto" w:sz="4" w:space="0"/>
            </w:tcBorders>
            <w:vAlign w:val="center"/>
          </w:tcPr>
          <w:p w14:paraId="1B00688B">
            <w:pPr>
              <w:spacing w:line="360" w:lineRule="auto"/>
              <w:jc w:val="center"/>
              <w:rPr>
                <w:rFonts w:ascii="仿宋_GB2312" w:hAnsi="仿宋_GB2312" w:eastAsia="仿宋_GB2312"/>
              </w:rPr>
            </w:pPr>
          </w:p>
        </w:tc>
      </w:tr>
      <w:tr w14:paraId="21969736">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27A8C8E3">
            <w:pPr>
              <w:spacing w:line="360" w:lineRule="auto"/>
              <w:jc w:val="center"/>
              <w:rPr>
                <w:rFonts w:ascii="仿宋_GB2312" w:hAnsi="仿宋_GB2312" w:eastAsia="仿宋_GB2312"/>
              </w:rPr>
            </w:pPr>
          </w:p>
        </w:tc>
        <w:tc>
          <w:tcPr>
            <w:tcW w:w="3625" w:type="dxa"/>
            <w:gridSpan w:val="3"/>
            <w:tcBorders>
              <w:top w:val="single" w:color="auto" w:sz="4" w:space="0"/>
              <w:left w:val="nil"/>
              <w:bottom w:val="single" w:color="auto" w:sz="4" w:space="0"/>
              <w:right w:val="single" w:color="auto" w:sz="4" w:space="0"/>
            </w:tcBorders>
            <w:vAlign w:val="center"/>
          </w:tcPr>
          <w:p w14:paraId="5AB64034">
            <w:pPr>
              <w:spacing w:line="360" w:lineRule="auto"/>
              <w:jc w:val="center"/>
              <w:rPr>
                <w:rFonts w:ascii="仿宋_GB2312" w:hAnsi="仿宋_GB2312" w:eastAsia="仿宋_GB2312"/>
              </w:rPr>
            </w:pPr>
          </w:p>
        </w:tc>
        <w:tc>
          <w:tcPr>
            <w:tcW w:w="1843" w:type="dxa"/>
            <w:tcBorders>
              <w:top w:val="single" w:color="auto" w:sz="4" w:space="0"/>
              <w:left w:val="nil"/>
              <w:bottom w:val="single" w:color="auto" w:sz="4" w:space="0"/>
              <w:right w:val="single" w:color="auto" w:sz="4" w:space="0"/>
            </w:tcBorders>
            <w:vAlign w:val="center"/>
          </w:tcPr>
          <w:p w14:paraId="7C3DF7B6">
            <w:pPr>
              <w:spacing w:line="360" w:lineRule="auto"/>
              <w:jc w:val="center"/>
              <w:rPr>
                <w:rFonts w:ascii="仿宋_GB2312" w:hAnsi="仿宋_GB2312" w:eastAsia="仿宋_GB2312"/>
              </w:rPr>
            </w:pPr>
          </w:p>
        </w:tc>
        <w:tc>
          <w:tcPr>
            <w:tcW w:w="2318" w:type="dxa"/>
            <w:tcBorders>
              <w:top w:val="single" w:color="auto" w:sz="4" w:space="0"/>
              <w:left w:val="nil"/>
              <w:bottom w:val="single" w:color="auto" w:sz="4" w:space="0"/>
              <w:right w:val="single" w:color="auto" w:sz="4" w:space="0"/>
            </w:tcBorders>
            <w:vAlign w:val="center"/>
          </w:tcPr>
          <w:p w14:paraId="7E18F055">
            <w:pPr>
              <w:spacing w:line="360" w:lineRule="auto"/>
              <w:jc w:val="center"/>
              <w:rPr>
                <w:rFonts w:ascii="仿宋_GB2312" w:hAnsi="仿宋_GB2312" w:eastAsia="仿宋_GB2312"/>
              </w:rPr>
            </w:pPr>
          </w:p>
        </w:tc>
      </w:tr>
      <w:tr w14:paraId="41849181">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6E311E0E">
            <w:pPr>
              <w:spacing w:line="360" w:lineRule="auto"/>
              <w:jc w:val="center"/>
              <w:rPr>
                <w:rFonts w:ascii="仿宋_GB2312" w:hAnsi="仿宋_GB2312" w:eastAsia="仿宋_GB2312"/>
              </w:rPr>
            </w:pPr>
          </w:p>
        </w:tc>
        <w:tc>
          <w:tcPr>
            <w:tcW w:w="3625" w:type="dxa"/>
            <w:gridSpan w:val="3"/>
            <w:tcBorders>
              <w:top w:val="single" w:color="auto" w:sz="4" w:space="0"/>
              <w:left w:val="nil"/>
              <w:bottom w:val="single" w:color="auto" w:sz="4" w:space="0"/>
              <w:right w:val="single" w:color="auto" w:sz="4" w:space="0"/>
            </w:tcBorders>
            <w:vAlign w:val="center"/>
          </w:tcPr>
          <w:p w14:paraId="03E1EE7A">
            <w:pPr>
              <w:spacing w:line="360" w:lineRule="auto"/>
              <w:jc w:val="center"/>
              <w:rPr>
                <w:rFonts w:ascii="仿宋_GB2312" w:hAnsi="仿宋_GB2312" w:eastAsia="仿宋_GB2312"/>
              </w:rPr>
            </w:pPr>
          </w:p>
        </w:tc>
        <w:tc>
          <w:tcPr>
            <w:tcW w:w="1843" w:type="dxa"/>
            <w:tcBorders>
              <w:top w:val="single" w:color="auto" w:sz="4" w:space="0"/>
              <w:left w:val="nil"/>
              <w:bottom w:val="single" w:color="auto" w:sz="4" w:space="0"/>
              <w:right w:val="single" w:color="auto" w:sz="4" w:space="0"/>
            </w:tcBorders>
            <w:vAlign w:val="center"/>
          </w:tcPr>
          <w:p w14:paraId="087C3EEB">
            <w:pPr>
              <w:spacing w:line="360" w:lineRule="auto"/>
              <w:jc w:val="center"/>
              <w:rPr>
                <w:rFonts w:ascii="仿宋_GB2312" w:hAnsi="仿宋_GB2312" w:eastAsia="仿宋_GB2312"/>
              </w:rPr>
            </w:pPr>
          </w:p>
        </w:tc>
        <w:tc>
          <w:tcPr>
            <w:tcW w:w="2318" w:type="dxa"/>
            <w:tcBorders>
              <w:top w:val="single" w:color="auto" w:sz="4" w:space="0"/>
              <w:left w:val="nil"/>
              <w:bottom w:val="single" w:color="auto" w:sz="4" w:space="0"/>
              <w:right w:val="single" w:color="auto" w:sz="4" w:space="0"/>
            </w:tcBorders>
            <w:vAlign w:val="center"/>
          </w:tcPr>
          <w:p w14:paraId="6945FDCA">
            <w:pPr>
              <w:spacing w:line="360" w:lineRule="auto"/>
              <w:jc w:val="center"/>
              <w:rPr>
                <w:rFonts w:ascii="仿宋_GB2312" w:hAnsi="仿宋_GB2312" w:eastAsia="仿宋_GB2312"/>
              </w:rPr>
            </w:pPr>
          </w:p>
        </w:tc>
      </w:tr>
    </w:tbl>
    <w:p w14:paraId="717C7D45">
      <w:pPr>
        <w:spacing w:line="360" w:lineRule="auto"/>
        <w:rPr>
          <w:rFonts w:ascii="仿宋_GB2312" w:hAnsi="仿宋_GB2312" w:eastAsia="仿宋_GB2312"/>
        </w:rPr>
      </w:pPr>
    </w:p>
    <w:p w14:paraId="726D76E2">
      <w:pPr>
        <w:spacing w:line="360" w:lineRule="auto"/>
        <w:ind w:left="120" w:hanging="120" w:hangingChars="50"/>
        <w:rPr>
          <w:rFonts w:ascii="仿宋_GB2312" w:hAnsi="仿宋_GB2312" w:eastAsia="仿宋_GB2312"/>
        </w:rPr>
      </w:pPr>
      <w:r>
        <w:rPr>
          <w:rFonts w:hint="eastAsia" w:ascii="仿宋_GB2312" w:hAnsi="仿宋_GB2312" w:eastAsia="仿宋_GB2312" w:cs="仿宋"/>
        </w:rPr>
        <w:t>注：</w:t>
      </w:r>
    </w:p>
    <w:p w14:paraId="1DD66DFF">
      <w:pPr>
        <w:spacing w:line="360" w:lineRule="auto"/>
        <w:ind w:left="120" w:hanging="120" w:hangingChars="50"/>
        <w:rPr>
          <w:rFonts w:ascii="仿宋_GB2312" w:hAnsi="仿宋_GB2312" w:eastAsia="仿宋_GB2312"/>
        </w:rPr>
      </w:pPr>
      <w:r>
        <w:rPr>
          <w:rFonts w:ascii="仿宋_GB2312" w:hAnsi="仿宋_GB2312" w:eastAsia="仿宋_GB2312" w:cs="仿宋"/>
        </w:rPr>
        <w:t>1</w:t>
      </w:r>
      <w:r>
        <w:rPr>
          <w:rFonts w:hint="eastAsia" w:ascii="仿宋_GB2312" w:hAnsi="仿宋_GB2312" w:eastAsia="仿宋_GB2312" w:cs="仿宋"/>
        </w:rPr>
        <w:t>．人员应附身份证复印件。</w:t>
      </w:r>
    </w:p>
    <w:p w14:paraId="7E9CBDF9">
      <w:pPr>
        <w:spacing w:line="360" w:lineRule="auto"/>
        <w:ind w:left="120" w:hanging="120" w:hangingChars="50"/>
        <w:rPr>
          <w:rFonts w:ascii="仿宋_GB2312" w:hAnsi="仿宋_GB2312" w:eastAsia="仿宋_GB2312"/>
        </w:rPr>
      </w:pPr>
      <w:r>
        <w:rPr>
          <w:rFonts w:ascii="仿宋_GB2312" w:hAnsi="仿宋_GB2312" w:eastAsia="仿宋_GB2312" w:cs="仿宋"/>
        </w:rPr>
        <w:t>2</w:t>
      </w:r>
      <w:r>
        <w:rPr>
          <w:rFonts w:hint="eastAsia" w:ascii="仿宋_GB2312" w:hAnsi="仿宋_GB2312" w:eastAsia="仿宋_GB2312" w:cs="仿宋"/>
        </w:rPr>
        <w:t>．人员应附执业或职业资格证或上岗证或职称证复印件。</w:t>
      </w:r>
    </w:p>
    <w:p w14:paraId="18F02C29">
      <w:pPr>
        <w:spacing w:line="360" w:lineRule="auto"/>
        <w:rPr>
          <w:rFonts w:ascii="仿宋_GB2312" w:hAnsi="仿宋_GB2312" w:eastAsia="仿宋_GB2312"/>
        </w:rPr>
      </w:pPr>
    </w:p>
    <w:p w14:paraId="7AC9C1B4">
      <w:pPr>
        <w:rPr>
          <w:rFonts w:hint="eastAsia" w:ascii="仿宋_GB2312" w:hAnsi="仿宋_GB2312" w:eastAsia="仿宋_GB2312" w:cs="仿宋"/>
          <w:b/>
          <w:bCs/>
          <w:sz w:val="28"/>
          <w:szCs w:val="28"/>
          <w:lang w:eastAsia="zh-CN"/>
        </w:rPr>
      </w:pPr>
      <w:r>
        <w:rPr>
          <w:rFonts w:ascii="仿宋_GB2312" w:hAnsi="仿宋_GB2312" w:eastAsia="仿宋_GB2312"/>
        </w:rPr>
        <w:br w:type="page"/>
      </w: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8</w:t>
      </w:r>
    </w:p>
    <w:p w14:paraId="70693769">
      <w:pPr>
        <w:pStyle w:val="3"/>
        <w:tabs>
          <w:tab w:val="left" w:pos="426"/>
          <w:tab w:val="left" w:pos="567"/>
        </w:tabs>
        <w:jc w:val="center"/>
        <w:rPr>
          <w:rFonts w:ascii="仿宋_GB2312" w:hAnsi="仿宋_GB2312" w:eastAsia="仿宋_GB2312" w:cs="仿宋"/>
        </w:rPr>
      </w:pPr>
      <w:r>
        <w:rPr>
          <w:rFonts w:hint="eastAsia" w:ascii="仿宋_GB2312" w:hAnsi="仿宋_GB2312" w:eastAsia="仿宋_GB2312" w:cs="仿宋"/>
          <w:lang w:eastAsia="zh-CN"/>
        </w:rPr>
        <w:t>八</w:t>
      </w:r>
      <w:r>
        <w:rPr>
          <w:rFonts w:hint="eastAsia" w:ascii="仿宋_GB2312" w:hAnsi="仿宋_GB2312" w:eastAsia="仿宋_GB2312" w:cs="仿宋"/>
        </w:rPr>
        <w:t>、</w:t>
      </w:r>
      <w:r>
        <w:rPr>
          <w:rFonts w:hint="eastAsia" w:ascii="仿宋_GB2312" w:hAnsi="仿宋_GB2312" w:eastAsia="仿宋_GB2312" w:cs="仿宋"/>
          <w:color w:val="000000" w:themeColor="text1"/>
          <w14:textFill>
            <w14:solidFill>
              <w14:schemeClr w14:val="tx1"/>
            </w14:solidFill>
          </w14:textFill>
        </w:rPr>
        <w:t>首轮报价表</w:t>
      </w:r>
    </w:p>
    <w:p w14:paraId="5C85B4FD">
      <w:pPr>
        <w:spacing w:line="360" w:lineRule="auto"/>
        <w:rPr>
          <w:rFonts w:ascii="仿宋_GB2312" w:hAnsi="仿宋_GB2312" w:eastAsia="仿宋_GB2312"/>
        </w:rPr>
      </w:pPr>
      <w:r>
        <w:rPr>
          <w:rFonts w:hint="eastAsia" w:ascii="仿宋_GB2312" w:hAnsi="仿宋_GB2312" w:eastAsia="仿宋_GB2312" w:cs="仿宋"/>
        </w:rPr>
        <w:t>项目名称:</w:t>
      </w:r>
      <w:r>
        <w:rPr>
          <w:rFonts w:ascii="仿宋_GB2312" w:hAnsi="仿宋_GB2312" w:eastAsia="仿宋_GB2312" w:cs="仿宋"/>
        </w:rPr>
        <w:t>XXX</w:t>
      </w:r>
      <w:r>
        <w:rPr>
          <w:rFonts w:hint="eastAsia" w:ascii="仿宋_GB2312" w:hAnsi="仿宋_GB2312" w:eastAsia="仿宋_GB2312" w:cs="仿宋"/>
        </w:rPr>
        <w:t>采购项目</w:t>
      </w:r>
    </w:p>
    <w:tbl>
      <w:tblPr>
        <w:tblStyle w:val="20"/>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14:paraId="6D77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9" w:type="dxa"/>
            <w:vAlign w:val="center"/>
          </w:tcPr>
          <w:p w14:paraId="634E8ABB">
            <w:pPr>
              <w:jc w:val="center"/>
              <w:rPr>
                <w:rFonts w:ascii="仿宋_GB2312" w:hAnsi="仿宋_GB2312" w:eastAsia="仿宋_GB2312"/>
              </w:rPr>
            </w:pPr>
            <w:r>
              <w:rPr>
                <w:rFonts w:hint="eastAsia" w:ascii="仿宋_GB2312" w:hAnsi="仿宋_GB2312" w:eastAsia="仿宋_GB2312" w:cs="仿宋"/>
              </w:rPr>
              <w:t>序号</w:t>
            </w:r>
          </w:p>
        </w:tc>
        <w:tc>
          <w:tcPr>
            <w:tcW w:w="5282" w:type="dxa"/>
            <w:vAlign w:val="center"/>
          </w:tcPr>
          <w:p w14:paraId="75D1F9CF">
            <w:pPr>
              <w:jc w:val="center"/>
              <w:rPr>
                <w:rFonts w:ascii="仿宋_GB2312" w:hAnsi="仿宋_GB2312" w:eastAsia="仿宋_GB2312"/>
              </w:rPr>
            </w:pPr>
            <w:r>
              <w:rPr>
                <w:rFonts w:hint="eastAsia" w:ascii="仿宋_GB2312" w:hAnsi="仿宋_GB2312" w:eastAsia="仿宋_GB2312" w:cs="仿宋"/>
              </w:rPr>
              <w:t>采购内容</w:t>
            </w:r>
          </w:p>
        </w:tc>
        <w:tc>
          <w:tcPr>
            <w:tcW w:w="2693" w:type="dxa"/>
            <w:vAlign w:val="center"/>
          </w:tcPr>
          <w:p w14:paraId="479DE6A3">
            <w:pPr>
              <w:jc w:val="center"/>
              <w:rPr>
                <w:rFonts w:ascii="仿宋_GB2312" w:hAnsi="仿宋_GB2312" w:eastAsia="仿宋_GB2312"/>
              </w:rPr>
            </w:pPr>
            <w:r>
              <w:rPr>
                <w:rFonts w:hint="eastAsia" w:ascii="仿宋_GB2312" w:hAnsi="仿宋_GB2312" w:eastAsia="仿宋_GB2312" w:cs="仿宋"/>
              </w:rPr>
              <w:t>报价</w:t>
            </w:r>
          </w:p>
        </w:tc>
      </w:tr>
      <w:tr w14:paraId="7FC9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14:paraId="1F8CEAAE">
            <w:pPr>
              <w:jc w:val="center"/>
              <w:rPr>
                <w:rFonts w:ascii="仿宋_GB2312" w:hAnsi="仿宋_GB2312" w:eastAsia="仿宋_GB2312" w:cs="仿宋"/>
              </w:rPr>
            </w:pPr>
            <w:r>
              <w:rPr>
                <w:rFonts w:ascii="仿宋_GB2312" w:hAnsi="仿宋_GB2312" w:eastAsia="仿宋_GB2312" w:cs="仿宋"/>
              </w:rPr>
              <w:t>1</w:t>
            </w:r>
          </w:p>
        </w:tc>
        <w:tc>
          <w:tcPr>
            <w:tcW w:w="5282" w:type="dxa"/>
            <w:vAlign w:val="center"/>
          </w:tcPr>
          <w:p w14:paraId="35985797">
            <w:pPr>
              <w:jc w:val="center"/>
              <w:rPr>
                <w:rFonts w:ascii="仿宋_GB2312" w:hAnsi="仿宋_GB2312" w:eastAsia="仿宋_GB2312" w:cs="仿宋"/>
              </w:rPr>
            </w:pPr>
            <w:r>
              <w:rPr>
                <w:rFonts w:ascii="仿宋_GB2312" w:hAnsi="仿宋_GB2312" w:eastAsia="仿宋_GB2312" w:cs="仿宋"/>
              </w:rPr>
              <w:t>XXX</w:t>
            </w:r>
          </w:p>
        </w:tc>
        <w:tc>
          <w:tcPr>
            <w:tcW w:w="2693" w:type="dxa"/>
            <w:vAlign w:val="center"/>
          </w:tcPr>
          <w:p w14:paraId="72E2CE30">
            <w:pPr>
              <w:ind w:firstLine="1108" w:firstLineChars="462"/>
              <w:rPr>
                <w:rFonts w:ascii="仿宋_GB2312" w:hAnsi="仿宋_GB2312" w:eastAsia="仿宋_GB2312"/>
              </w:rPr>
            </w:pPr>
            <w:r>
              <w:rPr>
                <w:rFonts w:ascii="仿宋_GB2312" w:hAnsi="仿宋_GB2312" w:eastAsia="仿宋_GB2312" w:cs="仿宋"/>
              </w:rPr>
              <w:t>XX</w:t>
            </w:r>
          </w:p>
        </w:tc>
      </w:tr>
    </w:tbl>
    <w:p w14:paraId="1A8AA47F">
      <w:pPr>
        <w:snapToGrid w:val="0"/>
        <w:spacing w:line="360" w:lineRule="auto"/>
        <w:ind w:right="-713" w:rightChars="-297"/>
        <w:rPr>
          <w:rFonts w:ascii="仿宋_GB2312" w:hAnsi="仿宋_GB2312" w:eastAsia="仿宋_GB2312"/>
        </w:rPr>
      </w:pPr>
    </w:p>
    <w:p w14:paraId="102BCD4B">
      <w:pPr>
        <w:pStyle w:val="29"/>
        <w:rPr>
          <w:rFonts w:ascii="仿宋_GB2312" w:hAnsi="仿宋_GB2312" w:eastAsia="仿宋_GB2312" w:cs="仿宋"/>
          <w:sz w:val="24"/>
          <w:szCs w:val="24"/>
        </w:rPr>
      </w:pPr>
      <w:r>
        <w:rPr>
          <w:rFonts w:hint="eastAsia" w:ascii="仿宋_GB2312" w:hAnsi="仿宋_GB2312" w:eastAsia="仿宋_GB2312" w:cs="仿宋"/>
          <w:sz w:val="24"/>
          <w:szCs w:val="24"/>
        </w:rPr>
        <w:t>首轮报价（大写人民币）:</w:t>
      </w:r>
      <w:r>
        <w:rPr>
          <w:rFonts w:ascii="仿宋_GB2312" w:hAnsi="仿宋_GB2312" w:eastAsia="仿宋_GB2312" w:cs="仿宋"/>
          <w:sz w:val="24"/>
          <w:szCs w:val="24"/>
        </w:rPr>
        <w:t>XXXX</w:t>
      </w:r>
    </w:p>
    <w:p w14:paraId="262F7A3E">
      <w:pPr>
        <w:pStyle w:val="29"/>
        <w:ind w:firstLine="0"/>
        <w:rPr>
          <w:rFonts w:ascii="仿宋_GB2312" w:hAnsi="仿宋_GB2312" w:eastAsia="仿宋_GB2312"/>
          <w:sz w:val="24"/>
          <w:szCs w:val="24"/>
        </w:rPr>
      </w:pPr>
    </w:p>
    <w:p w14:paraId="30A83B53">
      <w:pPr>
        <w:pStyle w:val="29"/>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供应商名称:</w:t>
      </w:r>
      <w:r>
        <w:rPr>
          <w:rFonts w:ascii="仿宋_GB2312" w:hAnsi="仿宋_GB2312" w:eastAsia="仿宋_GB2312" w:cs="仿宋"/>
          <w:sz w:val="24"/>
          <w:szCs w:val="24"/>
        </w:rPr>
        <w:t>XXXX</w:t>
      </w:r>
    </w:p>
    <w:p w14:paraId="4641BBC3">
      <w:pPr>
        <w:pStyle w:val="29"/>
        <w:ind w:firstLine="480" w:firstLineChars="200"/>
        <w:rPr>
          <w:rFonts w:ascii="仿宋_GB2312" w:hAnsi="仿宋_GB2312" w:eastAsia="仿宋_GB2312"/>
          <w:sz w:val="24"/>
          <w:szCs w:val="24"/>
        </w:rPr>
      </w:pPr>
      <w:r>
        <w:rPr>
          <w:rFonts w:hint="eastAsia" w:ascii="仿宋_GB2312" w:hAnsi="仿宋_GB2312" w:eastAsia="仿宋_GB2312" w:cs="仿宋"/>
          <w:sz w:val="24"/>
          <w:szCs w:val="24"/>
        </w:rPr>
        <w:t>法定代表人或授权代表:</w:t>
      </w:r>
      <w:r>
        <w:rPr>
          <w:rFonts w:ascii="仿宋_GB2312" w:hAnsi="仿宋_GB2312" w:eastAsia="仿宋_GB2312" w:cs="仿宋"/>
          <w:sz w:val="24"/>
          <w:szCs w:val="24"/>
        </w:rPr>
        <w:t>XXXX</w:t>
      </w:r>
      <w:r>
        <w:rPr>
          <w:rFonts w:hint="eastAsia" w:ascii="仿宋_GB2312" w:hAnsi="仿宋_GB2312" w:eastAsia="仿宋_GB2312" w:cs="仿宋"/>
          <w:sz w:val="24"/>
          <w:szCs w:val="24"/>
        </w:rPr>
        <w:t>（签字）</w:t>
      </w:r>
    </w:p>
    <w:p w14:paraId="3E4412C6">
      <w:pPr>
        <w:pStyle w:val="29"/>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日期:</w:t>
      </w:r>
      <w:r>
        <w:rPr>
          <w:rFonts w:ascii="仿宋_GB2312" w:hAnsi="仿宋_GB2312" w:eastAsia="仿宋_GB2312" w:cs="仿宋"/>
          <w:sz w:val="24"/>
          <w:szCs w:val="24"/>
        </w:rPr>
        <w:t>XX</w:t>
      </w:r>
      <w:r>
        <w:rPr>
          <w:rFonts w:hint="eastAsia" w:ascii="仿宋_GB2312" w:hAnsi="仿宋_GB2312" w:eastAsia="仿宋_GB2312" w:cs="仿宋"/>
          <w:sz w:val="24"/>
          <w:szCs w:val="24"/>
        </w:rPr>
        <w:t>年</w:t>
      </w:r>
      <w:r>
        <w:rPr>
          <w:rFonts w:ascii="仿宋_GB2312" w:hAnsi="仿宋_GB2312" w:eastAsia="仿宋_GB2312" w:cs="仿宋"/>
          <w:sz w:val="24"/>
          <w:szCs w:val="24"/>
        </w:rPr>
        <w:t>XX</w:t>
      </w:r>
      <w:r>
        <w:rPr>
          <w:rFonts w:hint="eastAsia" w:ascii="仿宋_GB2312" w:hAnsi="仿宋_GB2312" w:eastAsia="仿宋_GB2312" w:cs="仿宋"/>
          <w:sz w:val="24"/>
          <w:szCs w:val="24"/>
        </w:rPr>
        <w:t>月</w:t>
      </w:r>
      <w:r>
        <w:rPr>
          <w:rFonts w:ascii="仿宋_GB2312" w:hAnsi="仿宋_GB2312" w:eastAsia="仿宋_GB2312" w:cs="仿宋"/>
          <w:sz w:val="24"/>
          <w:szCs w:val="24"/>
        </w:rPr>
        <w:t>XX</w:t>
      </w:r>
      <w:r>
        <w:rPr>
          <w:rFonts w:hint="eastAsia" w:ascii="仿宋_GB2312" w:hAnsi="仿宋_GB2312" w:eastAsia="仿宋_GB2312" w:cs="仿宋"/>
          <w:sz w:val="24"/>
          <w:szCs w:val="24"/>
        </w:rPr>
        <w:t>日</w:t>
      </w:r>
    </w:p>
    <w:p w14:paraId="0DE7C12A">
      <w:pPr>
        <w:pStyle w:val="29"/>
        <w:ind w:firstLine="480" w:firstLineChars="200"/>
        <w:rPr>
          <w:rFonts w:ascii="仿宋_GB2312" w:hAnsi="仿宋_GB2312" w:eastAsia="仿宋_GB2312"/>
          <w:sz w:val="24"/>
          <w:szCs w:val="24"/>
        </w:rPr>
      </w:pPr>
    </w:p>
    <w:p w14:paraId="605537D3">
      <w:pPr>
        <w:pStyle w:val="29"/>
        <w:ind w:firstLine="551"/>
        <w:rPr>
          <w:rFonts w:ascii="仿宋_GB2312" w:hAnsi="仿宋_GB2312" w:eastAsia="仿宋_GB2312" w:cs="仿宋"/>
          <w:sz w:val="24"/>
          <w:szCs w:val="24"/>
        </w:rPr>
      </w:pPr>
      <w:r>
        <w:rPr>
          <w:rFonts w:hint="eastAsia" w:ascii="仿宋_GB2312" w:hAnsi="仿宋_GB2312" w:eastAsia="仿宋_GB2312" w:cs="仿宋"/>
          <w:sz w:val="24"/>
          <w:szCs w:val="24"/>
        </w:rPr>
        <w:t>注:报价应是包括谈判文件规定的全部相应内容的报价。</w:t>
      </w:r>
    </w:p>
    <w:p w14:paraId="58DF46A4">
      <w:pPr>
        <w:pStyle w:val="29"/>
        <w:ind w:firstLine="551"/>
        <w:rPr>
          <w:rFonts w:ascii="仿宋_GB2312" w:hAnsi="仿宋_GB2312" w:eastAsia="仿宋_GB2312" w:cs="仿宋"/>
          <w:sz w:val="24"/>
          <w:szCs w:val="24"/>
        </w:rPr>
      </w:pPr>
    </w:p>
    <w:p w14:paraId="2152852A">
      <w:pPr>
        <w:pStyle w:val="29"/>
        <w:ind w:firstLine="551"/>
        <w:rPr>
          <w:rFonts w:ascii="仿宋_GB2312" w:hAnsi="仿宋_GB2312" w:eastAsia="仿宋_GB2312" w:cs="仿宋"/>
          <w:sz w:val="24"/>
          <w:szCs w:val="24"/>
        </w:rPr>
      </w:pPr>
    </w:p>
    <w:p w14:paraId="717EEEF5">
      <w:pPr>
        <w:pStyle w:val="29"/>
        <w:ind w:firstLine="551"/>
        <w:rPr>
          <w:rFonts w:ascii="仿宋_GB2312" w:hAnsi="仿宋_GB2312" w:eastAsia="仿宋_GB2312" w:cs="仿宋"/>
          <w:sz w:val="24"/>
          <w:szCs w:val="24"/>
        </w:rPr>
      </w:pPr>
    </w:p>
    <w:p w14:paraId="2F786816">
      <w:pPr>
        <w:pStyle w:val="29"/>
        <w:ind w:firstLine="551"/>
        <w:rPr>
          <w:rFonts w:ascii="仿宋_GB2312" w:hAnsi="仿宋_GB2312" w:eastAsia="仿宋_GB2312" w:cs="仿宋"/>
          <w:sz w:val="24"/>
          <w:szCs w:val="24"/>
        </w:rPr>
      </w:pPr>
    </w:p>
    <w:p w14:paraId="7B0A00F1">
      <w:pPr>
        <w:pStyle w:val="29"/>
        <w:ind w:firstLine="551"/>
        <w:rPr>
          <w:rFonts w:ascii="仿宋_GB2312" w:hAnsi="仿宋_GB2312" w:eastAsia="仿宋_GB2312" w:cs="仿宋"/>
          <w:sz w:val="24"/>
          <w:szCs w:val="24"/>
        </w:rPr>
      </w:pPr>
    </w:p>
    <w:p w14:paraId="65291190">
      <w:pPr>
        <w:pStyle w:val="29"/>
        <w:ind w:firstLine="551"/>
        <w:rPr>
          <w:rFonts w:ascii="仿宋_GB2312" w:hAnsi="仿宋_GB2312" w:eastAsia="仿宋_GB2312" w:cs="仿宋"/>
          <w:sz w:val="24"/>
          <w:szCs w:val="24"/>
        </w:rPr>
      </w:pPr>
    </w:p>
    <w:p w14:paraId="6F234951">
      <w:pPr>
        <w:pStyle w:val="29"/>
        <w:ind w:firstLine="551"/>
        <w:rPr>
          <w:rFonts w:ascii="仿宋_GB2312" w:hAnsi="仿宋_GB2312" w:eastAsia="仿宋_GB2312" w:cs="仿宋"/>
          <w:sz w:val="24"/>
          <w:szCs w:val="24"/>
        </w:rPr>
      </w:pPr>
    </w:p>
    <w:p w14:paraId="6258AC2C">
      <w:pPr>
        <w:pStyle w:val="29"/>
        <w:ind w:firstLine="551"/>
        <w:rPr>
          <w:rFonts w:ascii="仿宋_GB2312" w:hAnsi="仿宋_GB2312" w:eastAsia="仿宋_GB2312" w:cs="仿宋"/>
          <w:sz w:val="24"/>
          <w:szCs w:val="24"/>
        </w:rPr>
      </w:pPr>
    </w:p>
    <w:p w14:paraId="44DFA050">
      <w:pPr>
        <w:pStyle w:val="29"/>
        <w:ind w:firstLine="551"/>
        <w:rPr>
          <w:rFonts w:ascii="仿宋_GB2312" w:hAnsi="仿宋_GB2312" w:eastAsia="仿宋_GB2312" w:cs="仿宋"/>
          <w:sz w:val="24"/>
          <w:szCs w:val="24"/>
        </w:rPr>
      </w:pPr>
    </w:p>
    <w:p w14:paraId="72585C49">
      <w:pPr>
        <w:pStyle w:val="29"/>
        <w:ind w:firstLine="551"/>
        <w:rPr>
          <w:rFonts w:ascii="仿宋_GB2312" w:hAnsi="仿宋_GB2312" w:eastAsia="仿宋_GB2312" w:cs="仿宋"/>
          <w:sz w:val="24"/>
          <w:szCs w:val="24"/>
        </w:rPr>
      </w:pPr>
    </w:p>
    <w:p w14:paraId="1B886593">
      <w:pPr>
        <w:pStyle w:val="29"/>
        <w:ind w:firstLine="551"/>
        <w:rPr>
          <w:rFonts w:ascii="仿宋_GB2312" w:hAnsi="仿宋_GB2312" w:eastAsia="仿宋_GB2312" w:cs="仿宋"/>
          <w:sz w:val="24"/>
          <w:szCs w:val="24"/>
        </w:rPr>
      </w:pPr>
    </w:p>
    <w:p w14:paraId="6A0D979E">
      <w:pPr>
        <w:pStyle w:val="29"/>
        <w:ind w:firstLine="551"/>
        <w:rPr>
          <w:rFonts w:ascii="仿宋_GB2312" w:hAnsi="仿宋_GB2312" w:eastAsia="仿宋_GB2312" w:cs="仿宋"/>
          <w:sz w:val="24"/>
          <w:szCs w:val="24"/>
        </w:rPr>
      </w:pPr>
    </w:p>
    <w:p w14:paraId="7653FD77">
      <w:pPr>
        <w:pStyle w:val="3"/>
        <w:tabs>
          <w:tab w:val="left" w:pos="426"/>
          <w:tab w:val="left" w:pos="567"/>
        </w:tabs>
        <w:jc w:val="center"/>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现场报价表</w:t>
      </w:r>
    </w:p>
    <w:p w14:paraId="7DE1925C">
      <w:pPr>
        <w:spacing w:line="360" w:lineRule="auto"/>
        <w:rPr>
          <w:rFonts w:ascii="仿宋_GB2312" w:hAnsi="仿宋_GB2312" w:eastAsia="仿宋_GB2312"/>
        </w:rPr>
      </w:pPr>
      <w:r>
        <w:rPr>
          <w:rFonts w:hint="eastAsia" w:ascii="仿宋_GB2312" w:hAnsi="仿宋_GB2312" w:eastAsia="仿宋_GB2312" w:cs="仿宋"/>
        </w:rPr>
        <w:t>项目名称:</w:t>
      </w:r>
      <w:r>
        <w:rPr>
          <w:rFonts w:ascii="仿宋_GB2312" w:hAnsi="仿宋_GB2312" w:eastAsia="仿宋_GB2312" w:cs="仿宋"/>
        </w:rPr>
        <w:t>XXX</w:t>
      </w:r>
      <w:r>
        <w:rPr>
          <w:rFonts w:hint="eastAsia" w:ascii="仿宋_GB2312" w:hAnsi="仿宋_GB2312" w:eastAsia="仿宋_GB2312" w:cs="仿宋"/>
        </w:rPr>
        <w:t>采购项目</w:t>
      </w:r>
    </w:p>
    <w:tbl>
      <w:tblPr>
        <w:tblStyle w:val="20"/>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14:paraId="057F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9" w:type="dxa"/>
            <w:vAlign w:val="center"/>
          </w:tcPr>
          <w:p w14:paraId="676FE038">
            <w:pPr>
              <w:jc w:val="center"/>
              <w:rPr>
                <w:rFonts w:ascii="仿宋_GB2312" w:hAnsi="仿宋_GB2312" w:eastAsia="仿宋_GB2312"/>
              </w:rPr>
            </w:pPr>
            <w:r>
              <w:rPr>
                <w:rFonts w:hint="eastAsia" w:ascii="仿宋_GB2312" w:hAnsi="仿宋_GB2312" w:eastAsia="仿宋_GB2312" w:cs="仿宋"/>
              </w:rPr>
              <w:t>序号</w:t>
            </w:r>
          </w:p>
        </w:tc>
        <w:tc>
          <w:tcPr>
            <w:tcW w:w="5282" w:type="dxa"/>
            <w:vAlign w:val="center"/>
          </w:tcPr>
          <w:p w14:paraId="7358F543">
            <w:pPr>
              <w:jc w:val="center"/>
              <w:rPr>
                <w:rFonts w:ascii="仿宋_GB2312" w:hAnsi="仿宋_GB2312" w:eastAsia="仿宋_GB2312"/>
              </w:rPr>
            </w:pPr>
            <w:r>
              <w:rPr>
                <w:rFonts w:hint="eastAsia" w:ascii="仿宋_GB2312" w:hAnsi="仿宋_GB2312" w:eastAsia="仿宋_GB2312" w:cs="仿宋"/>
              </w:rPr>
              <w:t>采购内容</w:t>
            </w:r>
          </w:p>
        </w:tc>
        <w:tc>
          <w:tcPr>
            <w:tcW w:w="2693" w:type="dxa"/>
            <w:vAlign w:val="center"/>
          </w:tcPr>
          <w:p w14:paraId="5B6CF1A9">
            <w:pPr>
              <w:jc w:val="center"/>
              <w:rPr>
                <w:rFonts w:ascii="仿宋_GB2312" w:hAnsi="仿宋_GB2312" w:eastAsia="仿宋_GB2312"/>
              </w:rPr>
            </w:pPr>
            <w:r>
              <w:rPr>
                <w:rFonts w:hint="eastAsia" w:ascii="仿宋_GB2312" w:hAnsi="仿宋_GB2312" w:eastAsia="仿宋_GB2312" w:cs="仿宋"/>
              </w:rPr>
              <w:t>报价</w:t>
            </w:r>
          </w:p>
        </w:tc>
      </w:tr>
      <w:tr w14:paraId="2560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14:paraId="4DE40C09">
            <w:pPr>
              <w:jc w:val="center"/>
              <w:rPr>
                <w:rFonts w:ascii="仿宋_GB2312" w:hAnsi="仿宋_GB2312" w:eastAsia="仿宋_GB2312" w:cs="仿宋"/>
              </w:rPr>
            </w:pPr>
            <w:r>
              <w:rPr>
                <w:rFonts w:ascii="仿宋_GB2312" w:hAnsi="仿宋_GB2312" w:eastAsia="仿宋_GB2312" w:cs="仿宋"/>
              </w:rPr>
              <w:t>1</w:t>
            </w:r>
          </w:p>
        </w:tc>
        <w:tc>
          <w:tcPr>
            <w:tcW w:w="5282" w:type="dxa"/>
            <w:vAlign w:val="center"/>
          </w:tcPr>
          <w:p w14:paraId="0461F9F2">
            <w:pPr>
              <w:jc w:val="center"/>
              <w:rPr>
                <w:rFonts w:ascii="仿宋_GB2312" w:hAnsi="仿宋_GB2312" w:eastAsia="仿宋_GB2312" w:cs="仿宋"/>
              </w:rPr>
            </w:pPr>
            <w:r>
              <w:rPr>
                <w:rFonts w:ascii="仿宋_GB2312" w:hAnsi="仿宋_GB2312" w:eastAsia="仿宋_GB2312" w:cs="仿宋"/>
              </w:rPr>
              <w:t>XXX</w:t>
            </w:r>
          </w:p>
        </w:tc>
        <w:tc>
          <w:tcPr>
            <w:tcW w:w="2693" w:type="dxa"/>
            <w:vAlign w:val="center"/>
          </w:tcPr>
          <w:p w14:paraId="7C24F9AC">
            <w:pPr>
              <w:ind w:firstLine="1108" w:firstLineChars="462"/>
              <w:rPr>
                <w:rFonts w:ascii="仿宋_GB2312" w:hAnsi="仿宋_GB2312" w:eastAsia="仿宋_GB2312"/>
              </w:rPr>
            </w:pPr>
            <w:r>
              <w:rPr>
                <w:rFonts w:ascii="仿宋_GB2312" w:hAnsi="仿宋_GB2312" w:eastAsia="仿宋_GB2312" w:cs="仿宋"/>
              </w:rPr>
              <w:t>XX</w:t>
            </w:r>
          </w:p>
        </w:tc>
      </w:tr>
    </w:tbl>
    <w:p w14:paraId="65744423">
      <w:pPr>
        <w:snapToGrid w:val="0"/>
        <w:spacing w:line="360" w:lineRule="auto"/>
        <w:ind w:right="-713" w:rightChars="-297"/>
        <w:rPr>
          <w:rFonts w:ascii="仿宋_GB2312" w:hAnsi="仿宋_GB2312" w:eastAsia="仿宋_GB2312"/>
        </w:rPr>
      </w:pPr>
    </w:p>
    <w:p w14:paraId="114AB768">
      <w:pPr>
        <w:pStyle w:val="29"/>
        <w:rPr>
          <w:rFonts w:ascii="仿宋_GB2312" w:hAnsi="仿宋_GB2312" w:eastAsia="仿宋_GB2312" w:cs="仿宋"/>
          <w:sz w:val="24"/>
          <w:szCs w:val="24"/>
        </w:rPr>
      </w:pPr>
      <w:r>
        <w:rPr>
          <w:rFonts w:hint="eastAsia" w:ascii="仿宋_GB2312" w:hAnsi="仿宋_GB2312" w:eastAsia="仿宋_GB2312" w:cs="仿宋"/>
          <w:sz w:val="24"/>
          <w:szCs w:val="24"/>
          <w:lang w:eastAsia="zh-CN"/>
        </w:rPr>
        <w:t>现场</w:t>
      </w:r>
      <w:r>
        <w:rPr>
          <w:rFonts w:hint="eastAsia" w:ascii="仿宋_GB2312" w:hAnsi="仿宋_GB2312" w:eastAsia="仿宋_GB2312" w:cs="仿宋"/>
          <w:sz w:val="24"/>
          <w:szCs w:val="24"/>
        </w:rPr>
        <w:t>报价（大写人民币）:</w:t>
      </w:r>
      <w:r>
        <w:rPr>
          <w:rFonts w:ascii="仿宋_GB2312" w:hAnsi="仿宋_GB2312" w:eastAsia="仿宋_GB2312" w:cs="仿宋"/>
          <w:sz w:val="24"/>
          <w:szCs w:val="24"/>
        </w:rPr>
        <w:t>XXXX</w:t>
      </w:r>
    </w:p>
    <w:p w14:paraId="15F2847C">
      <w:pPr>
        <w:pStyle w:val="29"/>
        <w:ind w:firstLine="0"/>
        <w:rPr>
          <w:rFonts w:ascii="仿宋_GB2312" w:hAnsi="仿宋_GB2312" w:eastAsia="仿宋_GB2312"/>
          <w:sz w:val="24"/>
          <w:szCs w:val="24"/>
        </w:rPr>
      </w:pPr>
    </w:p>
    <w:p w14:paraId="63508193">
      <w:pPr>
        <w:pStyle w:val="29"/>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供应商名称:</w:t>
      </w:r>
      <w:r>
        <w:rPr>
          <w:rFonts w:ascii="仿宋_GB2312" w:hAnsi="仿宋_GB2312" w:eastAsia="仿宋_GB2312" w:cs="仿宋"/>
          <w:sz w:val="24"/>
          <w:szCs w:val="24"/>
        </w:rPr>
        <w:t>XXXX</w:t>
      </w:r>
    </w:p>
    <w:p w14:paraId="58E67CBC">
      <w:pPr>
        <w:pStyle w:val="29"/>
        <w:ind w:firstLine="480" w:firstLineChars="200"/>
        <w:rPr>
          <w:rFonts w:ascii="仿宋_GB2312" w:hAnsi="仿宋_GB2312" w:eastAsia="仿宋_GB2312"/>
          <w:sz w:val="24"/>
          <w:szCs w:val="24"/>
        </w:rPr>
      </w:pPr>
      <w:r>
        <w:rPr>
          <w:rFonts w:hint="eastAsia" w:ascii="仿宋_GB2312" w:hAnsi="仿宋_GB2312" w:eastAsia="仿宋_GB2312" w:cs="仿宋"/>
          <w:sz w:val="24"/>
          <w:szCs w:val="24"/>
        </w:rPr>
        <w:t>法定代表人或授权代表:</w:t>
      </w:r>
      <w:r>
        <w:rPr>
          <w:rFonts w:ascii="仿宋_GB2312" w:hAnsi="仿宋_GB2312" w:eastAsia="仿宋_GB2312" w:cs="仿宋"/>
          <w:sz w:val="24"/>
          <w:szCs w:val="24"/>
        </w:rPr>
        <w:t>XXXX</w:t>
      </w:r>
      <w:r>
        <w:rPr>
          <w:rFonts w:hint="eastAsia" w:ascii="仿宋_GB2312" w:hAnsi="仿宋_GB2312" w:eastAsia="仿宋_GB2312" w:cs="仿宋"/>
          <w:sz w:val="24"/>
          <w:szCs w:val="24"/>
        </w:rPr>
        <w:t>（签字）</w:t>
      </w:r>
    </w:p>
    <w:p w14:paraId="0995A2DF">
      <w:pPr>
        <w:pStyle w:val="29"/>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日期:</w:t>
      </w:r>
      <w:r>
        <w:rPr>
          <w:rFonts w:ascii="仿宋_GB2312" w:hAnsi="仿宋_GB2312" w:eastAsia="仿宋_GB2312" w:cs="仿宋"/>
          <w:sz w:val="24"/>
          <w:szCs w:val="24"/>
        </w:rPr>
        <w:t>XX</w:t>
      </w:r>
      <w:r>
        <w:rPr>
          <w:rFonts w:hint="eastAsia" w:ascii="仿宋_GB2312" w:hAnsi="仿宋_GB2312" w:eastAsia="仿宋_GB2312" w:cs="仿宋"/>
          <w:sz w:val="24"/>
          <w:szCs w:val="24"/>
        </w:rPr>
        <w:t>年</w:t>
      </w:r>
      <w:r>
        <w:rPr>
          <w:rFonts w:ascii="仿宋_GB2312" w:hAnsi="仿宋_GB2312" w:eastAsia="仿宋_GB2312" w:cs="仿宋"/>
          <w:sz w:val="24"/>
          <w:szCs w:val="24"/>
        </w:rPr>
        <w:t>XX</w:t>
      </w:r>
      <w:r>
        <w:rPr>
          <w:rFonts w:hint="eastAsia" w:ascii="仿宋_GB2312" w:hAnsi="仿宋_GB2312" w:eastAsia="仿宋_GB2312" w:cs="仿宋"/>
          <w:sz w:val="24"/>
          <w:szCs w:val="24"/>
        </w:rPr>
        <w:t>月</w:t>
      </w:r>
      <w:r>
        <w:rPr>
          <w:rFonts w:ascii="仿宋_GB2312" w:hAnsi="仿宋_GB2312" w:eastAsia="仿宋_GB2312" w:cs="仿宋"/>
          <w:sz w:val="24"/>
          <w:szCs w:val="24"/>
        </w:rPr>
        <w:t>XX</w:t>
      </w:r>
      <w:r>
        <w:rPr>
          <w:rFonts w:hint="eastAsia" w:ascii="仿宋_GB2312" w:hAnsi="仿宋_GB2312" w:eastAsia="仿宋_GB2312" w:cs="仿宋"/>
          <w:sz w:val="24"/>
          <w:szCs w:val="24"/>
        </w:rPr>
        <w:t>日</w:t>
      </w:r>
    </w:p>
    <w:p w14:paraId="037640E2">
      <w:pPr>
        <w:pStyle w:val="29"/>
        <w:ind w:firstLine="480" w:firstLineChars="200"/>
        <w:rPr>
          <w:rFonts w:ascii="仿宋_GB2312" w:hAnsi="仿宋_GB2312" w:eastAsia="仿宋_GB2312"/>
          <w:sz w:val="24"/>
          <w:szCs w:val="24"/>
        </w:rPr>
      </w:pPr>
    </w:p>
    <w:p w14:paraId="3CBE57C0">
      <w:pPr>
        <w:pStyle w:val="29"/>
        <w:ind w:firstLine="551"/>
        <w:rPr>
          <w:rFonts w:ascii="仿宋_GB2312" w:hAnsi="仿宋_GB2312" w:eastAsia="仿宋_GB2312"/>
          <w:sz w:val="24"/>
          <w:szCs w:val="24"/>
        </w:rPr>
      </w:pPr>
      <w:r>
        <w:rPr>
          <w:rFonts w:hint="eastAsia" w:ascii="仿宋_GB2312" w:hAnsi="仿宋_GB2312" w:eastAsia="仿宋_GB2312" w:cs="仿宋"/>
          <w:sz w:val="24"/>
          <w:szCs w:val="24"/>
        </w:rPr>
        <w:t>注:1.此表为谈判结束后，由供应商填写“现场报价”（表格由谈判小组提供），经供应商法定代表人或代理人签字后密封提交给采购人，由其收集齐后集中提交谈判小组。供应商在响应文件中提交此表的，不影响其响应文件的有效性，其最后报价以谈判结束后提交的“现场报价”为准。</w:t>
      </w:r>
    </w:p>
    <w:p w14:paraId="17ABBBCD">
      <w:pPr>
        <w:pStyle w:val="29"/>
        <w:ind w:firstLine="551"/>
        <w:rPr>
          <w:rFonts w:ascii="仿宋_GB2312" w:hAnsi="仿宋_GB2312" w:eastAsia="仿宋_GB2312" w:cs="仿宋"/>
          <w:sz w:val="24"/>
          <w:szCs w:val="24"/>
        </w:rPr>
      </w:pPr>
      <w:r>
        <w:rPr>
          <w:rFonts w:hint="eastAsia" w:ascii="仿宋_GB2312" w:hAnsi="仿宋_GB2312" w:eastAsia="仿宋_GB2312" w:cs="仿宋"/>
          <w:sz w:val="24"/>
          <w:szCs w:val="24"/>
        </w:rPr>
        <w:t>2.报价应是包括谈判文件规定的全部相应内容的报价。</w:t>
      </w:r>
    </w:p>
    <w:p w14:paraId="0768B238">
      <w:pPr>
        <w:pStyle w:val="29"/>
        <w:ind w:firstLine="551"/>
        <w:rPr>
          <w:rFonts w:ascii="仿宋_GB2312" w:hAnsi="仿宋_GB2312" w:eastAsia="仿宋_GB2312" w:cs="仿宋"/>
          <w:sz w:val="24"/>
          <w:szCs w:val="24"/>
        </w:rPr>
      </w:pPr>
    </w:p>
    <w:p w14:paraId="48549D31">
      <w:pPr>
        <w:pStyle w:val="18"/>
        <w:jc w:val="both"/>
        <w:rPr>
          <w:rFonts w:ascii="仿宋_GB2312" w:hAnsi="仿宋_GB2312" w:eastAsia="仿宋_GB2312" w:cs="Times New Roman"/>
        </w:rPr>
      </w:pPr>
      <w:r>
        <w:rPr>
          <w:rFonts w:ascii="仿宋_GB2312" w:hAnsi="仿宋_GB2312" w:eastAsia="仿宋_GB2312" w:cs="Times New Roman"/>
          <w:sz w:val="24"/>
          <w:szCs w:val="24"/>
        </w:rPr>
        <w:br w:type="page"/>
      </w:r>
      <w:bookmarkStart w:id="64" w:name="_Toc509579147"/>
      <w:r>
        <w:rPr>
          <w:rFonts w:ascii="仿宋_GB2312" w:hAnsi="仿宋_GB2312" w:eastAsia="仿宋_GB2312" w:cs="Times New Roman"/>
          <w:sz w:val="24"/>
          <w:szCs w:val="24"/>
        </w:rPr>
        <w:t xml:space="preserve">                         </w:t>
      </w:r>
      <w:bookmarkStart w:id="65" w:name="_Toc23656"/>
      <w:r>
        <w:rPr>
          <w:rFonts w:hint="eastAsia" w:ascii="仿宋_GB2312" w:hAnsi="仿宋_GB2312" w:eastAsia="仿宋_GB2312" w:cs="仿宋"/>
        </w:rPr>
        <w:t>第六章</w:t>
      </w:r>
      <w:r>
        <w:rPr>
          <w:rFonts w:ascii="仿宋_GB2312" w:hAnsi="仿宋_GB2312" w:eastAsia="仿宋_GB2312" w:cs="仿宋"/>
        </w:rPr>
        <w:t xml:space="preserve"> </w:t>
      </w:r>
      <w:r>
        <w:rPr>
          <w:rFonts w:hint="eastAsia" w:ascii="仿宋_GB2312" w:hAnsi="仿宋_GB2312" w:eastAsia="仿宋_GB2312" w:cs="仿宋"/>
        </w:rPr>
        <w:t>评审方法</w:t>
      </w:r>
      <w:bookmarkEnd w:id="64"/>
      <w:bookmarkEnd w:id="65"/>
    </w:p>
    <w:p w14:paraId="5648720B">
      <w:pPr>
        <w:rPr>
          <w:rFonts w:ascii="仿宋_GB2312" w:hAnsi="仿宋_GB2312" w:eastAsia="仿宋_GB2312" w:cs="仿宋"/>
        </w:rPr>
      </w:pPr>
      <w:bookmarkStart w:id="66" w:name="_Toc209847065"/>
      <w:bookmarkStart w:id="67" w:name="_Toc101250640"/>
      <w:bookmarkStart w:id="68" w:name="_Toc101174146"/>
      <w:bookmarkStart w:id="69" w:name="_Toc101338358"/>
      <w:bookmarkStart w:id="70" w:name="_Toc430773924"/>
    </w:p>
    <w:p w14:paraId="0B16AAE4">
      <w:pPr>
        <w:pStyle w:val="3"/>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1.总则</w:t>
      </w:r>
    </w:p>
    <w:p w14:paraId="4824F986">
      <w:pPr>
        <w:pStyle w:val="3"/>
        <w:keepNext w:val="0"/>
        <w:keepLines w:val="0"/>
        <w:spacing w:before="0" w:after="0" w:line="360" w:lineRule="auto"/>
        <w:ind w:firstLine="470" w:firstLineChars="196"/>
        <w:rPr>
          <w:rFonts w:ascii="仿宋_GB2312" w:hAnsi="仿宋_GB2312" w:eastAsia="仿宋_GB2312" w:cs="仿宋"/>
        </w:rPr>
      </w:pPr>
      <w:r>
        <w:rPr>
          <w:rFonts w:hint="eastAsia" w:ascii="仿宋_GB2312" w:hAnsi="仿宋_GB2312" w:eastAsia="仿宋_GB2312" w:cs="仿宋"/>
          <w:b w:val="0"/>
          <w:bCs w:val="0"/>
          <w:sz w:val="24"/>
          <w:szCs w:val="24"/>
        </w:rPr>
        <w:t>1.1 根据《中华人民共和国政府采购法》《中华人民共和国政府采购法实施条例》《政府采购非招标采购方式管理办法》等法律制度，结合本采购项目特点制定本次竞争性谈判评审方法。</w:t>
      </w:r>
    </w:p>
    <w:p w14:paraId="1F62E7F8">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1.2 评审工作由采购人组织，具体由采购人组建的谈判小组负责。</w:t>
      </w:r>
    </w:p>
    <w:p w14:paraId="5C1BD189">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1.3 评审工作应遵循客观、公正、审慎的原则，并以相同的谈判程序和标准对待所有的供应商。</w:t>
      </w:r>
    </w:p>
    <w:p w14:paraId="2E4E9692">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1.4 本项目采取现场评审完成评审工作。谈判小组成员、采购人和供应商应当按照本谈判文件规定开展或者参加评审活动。</w:t>
      </w:r>
    </w:p>
    <w:p w14:paraId="3F1DC49D">
      <w:pPr>
        <w:pStyle w:val="26"/>
        <w:spacing w:line="360" w:lineRule="auto"/>
        <w:ind w:firstLine="470" w:firstLineChars="196"/>
        <w:rPr>
          <w:rFonts w:hint="default" w:ascii="仿宋_GB2312" w:hAnsi="仿宋_GB2312" w:eastAsia="仿宋_GB2312" w:cs="仿宋"/>
        </w:rPr>
      </w:pPr>
      <w:r>
        <w:rPr>
          <w:rFonts w:ascii="仿宋_GB2312" w:hAnsi="仿宋_GB2312" w:eastAsia="仿宋_GB2312" w:cs="仿宋"/>
        </w:rPr>
        <w:t>1.5 评审过程中的书面材料由谈判小组成员签名后生效。</w:t>
      </w:r>
    </w:p>
    <w:p w14:paraId="0084CEE7">
      <w:pPr>
        <w:pStyle w:val="3"/>
        <w:spacing w:before="0" w:after="0" w:line="360" w:lineRule="auto"/>
        <w:ind w:firstLine="470" w:firstLineChars="196"/>
        <w:rPr>
          <w:rFonts w:ascii="仿宋_GB2312" w:hAnsi="仿宋_GB2312" w:eastAsia="仿宋_GB2312" w:cs="仿宋"/>
        </w:rPr>
      </w:pPr>
      <w:r>
        <w:rPr>
          <w:rFonts w:hint="eastAsia" w:ascii="仿宋_GB2312" w:hAnsi="仿宋_GB2312" w:eastAsia="仿宋_GB2312" w:cs="仿宋"/>
          <w:b w:val="0"/>
          <w:bCs w:val="0"/>
          <w:kern w:val="0"/>
          <w:sz w:val="24"/>
          <w:szCs w:val="24"/>
        </w:rPr>
        <w:t>1.6评审</w:t>
      </w:r>
      <w:r>
        <w:rPr>
          <w:rFonts w:hint="eastAsia" w:ascii="仿宋_GB2312" w:hAnsi="仿宋_GB2312" w:eastAsia="仿宋_GB2312" w:cs="仿宋"/>
          <w:b w:val="0"/>
          <w:bCs w:val="0"/>
          <w:sz w:val="24"/>
          <w:szCs w:val="24"/>
        </w:rPr>
        <w:t>过程应当独立、保密，任何单位和个人不得非法干预评审活动。供应商非法干预评审活动的，其响应文件将作无效处理；采购人及其工作人员、监督人员非法干预评审活动的，将依法追究其责任。</w:t>
      </w:r>
    </w:p>
    <w:p w14:paraId="3C4EA1D3">
      <w:pPr>
        <w:pStyle w:val="26"/>
        <w:spacing w:line="360" w:lineRule="auto"/>
        <w:ind w:firstLine="472" w:firstLineChars="196"/>
        <w:rPr>
          <w:rFonts w:hint="default" w:ascii="仿宋_GB2312" w:hAnsi="仿宋_GB2312" w:eastAsia="仿宋_GB2312" w:cs="仿宋"/>
          <w:b/>
          <w:bCs/>
        </w:rPr>
      </w:pPr>
      <w:r>
        <w:rPr>
          <w:rFonts w:ascii="仿宋_GB2312" w:hAnsi="仿宋_GB2312" w:eastAsia="仿宋_GB2312" w:cs="仿宋"/>
          <w:b/>
          <w:bCs/>
        </w:rPr>
        <w:t>2.谈判小组</w:t>
      </w:r>
    </w:p>
    <w:p w14:paraId="7BB5BFCE">
      <w:pPr>
        <w:spacing w:line="360" w:lineRule="auto"/>
        <w:ind w:firstLine="48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2.1 本项目谈判小组成员共3人，其中采购人代表1人，具有中级及以上职称专业技术人员2人。现场监督1人。</w:t>
      </w:r>
    </w:p>
    <w:p w14:paraId="4CE398E3">
      <w:pPr>
        <w:spacing w:line="360" w:lineRule="auto"/>
        <w:ind w:firstLine="480"/>
        <w:rPr>
          <w:rFonts w:ascii="仿宋_GB2312" w:hAnsi="仿宋_GB2312" w:eastAsia="仿宋_GB2312" w:cs="仿宋"/>
        </w:rPr>
      </w:pPr>
      <w:r>
        <w:rPr>
          <w:rFonts w:hint="eastAsia" w:ascii="仿宋_GB2312" w:hAnsi="仿宋_GB2312" w:eastAsia="仿宋_GB2312" w:cs="仿宋"/>
        </w:rPr>
        <w:t>2.2谈判小组成员获取响应文件，开展评审活动。出现应当回避的情形时，谈判小组成员应当主动回避；</w:t>
      </w:r>
    </w:p>
    <w:p w14:paraId="4AC7F066">
      <w:pPr>
        <w:pStyle w:val="3"/>
        <w:keepNext w:val="0"/>
        <w:keepLines w:val="0"/>
        <w:spacing w:before="0" w:after="0" w:line="360" w:lineRule="auto"/>
        <w:ind w:firstLine="470" w:firstLineChars="196"/>
        <w:rPr>
          <w:rFonts w:ascii="仿宋_GB2312" w:hAnsi="仿宋_GB2312" w:eastAsia="仿宋_GB2312" w:cs="仿宋"/>
        </w:rPr>
      </w:pPr>
      <w:r>
        <w:rPr>
          <w:rFonts w:hint="eastAsia" w:ascii="仿宋_GB2312" w:hAnsi="仿宋_GB2312" w:eastAsia="仿宋_GB2312" w:cs="仿宋"/>
          <w:b w:val="0"/>
          <w:bCs w:val="0"/>
          <w:sz w:val="24"/>
          <w:szCs w:val="24"/>
        </w:rPr>
        <w:t>2.3 谈判小组按照谈判文件规定的谈判程序、评审方法和标准进行评审，并独立履行下列职责：</w:t>
      </w:r>
    </w:p>
    <w:p w14:paraId="3E40BDB5">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（一）熟悉和理解谈判文件，确定谈判文件内容是否违反国家有关强制性规定或者谈判文件存在歧义、重大缺陷；</w:t>
      </w:r>
    </w:p>
    <w:p w14:paraId="39EA7A40">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（二）审查供应商响应文件是否满足谈判文件要求，并作出公正评价；</w:t>
      </w:r>
    </w:p>
    <w:p w14:paraId="03947CEA">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（三）根据需要要求供应商对响应文件中含义不明确、同类问题表述不一致或者有明显文字和计算错误的内容等作出必要的澄清、说明或者更正；</w:t>
      </w:r>
    </w:p>
    <w:p w14:paraId="050D572E">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（四）推荐成交候选供应商，或者受采购人委托确定成交供应商；</w:t>
      </w:r>
    </w:p>
    <w:p w14:paraId="6B360B92">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（五）起草评审报告并进行签署；</w:t>
      </w:r>
    </w:p>
    <w:p w14:paraId="7D92C6AF">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（六）向采购人、现场监督人员报告非法干预评审工作的行为；</w:t>
      </w:r>
    </w:p>
    <w:p w14:paraId="76E54511">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（七）法律、法规和规章规定的其他职责。</w:t>
      </w:r>
    </w:p>
    <w:p w14:paraId="7DDF2814">
      <w:pPr>
        <w:pStyle w:val="3"/>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3.评审程序</w:t>
      </w:r>
    </w:p>
    <w:p w14:paraId="7C021563">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3.1审查谈判文件和停止评审。</w:t>
      </w:r>
    </w:p>
    <w:p w14:paraId="12D80BFF">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3.1.1 谈判小组正式评审前，应当对谈判文件进行熟悉和理解，内容主要包括谈判文件中供应商资格条件要求、采购项目技术、服务和商务要求、谈判办法和标准、政府采购政策要求以及政府采购合同主要条款等。</w:t>
      </w:r>
    </w:p>
    <w:p w14:paraId="2DF6B735">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3.1.2 本谈判文件有下列情形之一的，谈判小组应当停止评审：</w:t>
      </w:r>
    </w:p>
    <w:p w14:paraId="00FD46AB">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（1）谈判文件的规定存在歧义、重大缺陷，导致评审无法进行的；</w:t>
      </w:r>
    </w:p>
    <w:p w14:paraId="6FEB5EFF">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（2）谈判文件明显以不合理条件对供应商实行差别待遇或者歧视待遇的；</w:t>
      </w:r>
    </w:p>
    <w:p w14:paraId="057579FB">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（3）谈判文件载明的成交原则不合法的；</w:t>
      </w:r>
    </w:p>
    <w:p w14:paraId="55643D73">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（4）谈判文件有违反国家其他有关强制性规定的情形。</w:t>
      </w:r>
    </w:p>
    <w:p w14:paraId="0C790341">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3.1.3 出现本条3.1.2规定应当停止评审情形的，谈判小组应当向采购组织单位书面说明情况。除3.1.2规定的情形外，谈判小组不得以任何方式和理由停止评审。</w:t>
      </w:r>
    </w:p>
    <w:p w14:paraId="49E6F036">
      <w:pPr>
        <w:pStyle w:val="10"/>
        <w:snapToGrid w:val="0"/>
        <w:spacing w:line="360" w:lineRule="auto"/>
        <w:ind w:firstLine="422" w:firstLineChars="200"/>
        <w:rPr>
          <w:rFonts w:ascii="仿宋_GB2312" w:hAnsi="仿宋_GB2312" w:eastAsia="仿宋_GB2312" w:cs="仿宋"/>
          <w:b/>
          <w:bCs/>
          <w:sz w:val="24"/>
          <w:szCs w:val="24"/>
        </w:rPr>
      </w:pPr>
      <w:r>
        <w:rPr>
          <w:rFonts w:hint="eastAsia" w:ascii="仿宋_GB2312" w:hAnsi="仿宋_GB2312" w:eastAsia="仿宋_GB2312" w:cs="仿宋"/>
          <w:b/>
          <w:bCs/>
        </w:rPr>
        <w:t>4.</w:t>
      </w:r>
      <w:r>
        <w:rPr>
          <w:rFonts w:hint="eastAsia" w:ascii="仿宋_GB2312" w:hAnsi="仿宋_GB2312" w:eastAsia="仿宋_GB2312" w:cs="仿宋"/>
          <w:b/>
          <w:bCs/>
          <w:sz w:val="24"/>
          <w:szCs w:val="24"/>
          <w:lang w:val="zh-CN"/>
        </w:rPr>
        <w:t>符合性审查</w:t>
      </w:r>
    </w:p>
    <w:p w14:paraId="4E3EA653">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rPr>
        <w:t>4.1谈判开始前，</w:t>
      </w:r>
      <w:r>
        <w:rPr>
          <w:rFonts w:hint="eastAsia" w:ascii="仿宋_GB2312" w:hAnsi="仿宋_GB2312" w:eastAsia="仿宋_GB2312" w:cs="仿宋"/>
          <w:sz w:val="24"/>
          <w:szCs w:val="24"/>
          <w:lang w:val="zh-CN"/>
        </w:rPr>
        <w:t>谈判小组对供应商首次提交的响应文件（包括报价）进行审查，审查内容为谈判文件不允许实质性变动的实质性要求，不符合实质性要求或应当作无效响应处理的，应当作无效响应处理。</w:t>
      </w:r>
    </w:p>
    <w:p w14:paraId="3104A341">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4.2谈判小组对供应商已标价</w:t>
      </w:r>
      <w:r>
        <w:rPr>
          <w:rFonts w:hint="eastAsia" w:ascii="仿宋_GB2312" w:hAnsi="仿宋_GB2312" w:eastAsia="仿宋_GB2312" w:cs="仿宋"/>
          <w:sz w:val="24"/>
          <w:szCs w:val="24"/>
        </w:rPr>
        <w:t>服务内容</w:t>
      </w:r>
      <w:r>
        <w:rPr>
          <w:rFonts w:hint="eastAsia" w:ascii="仿宋_GB2312" w:hAnsi="仿宋_GB2312" w:eastAsia="仿宋_GB2312" w:cs="仿宋"/>
          <w:sz w:val="24"/>
          <w:szCs w:val="24"/>
          <w:lang w:val="zh-CN"/>
        </w:rPr>
        <w:t>进行算术性复核，如果出现下列不一致的，按以下原则进行修正：</w:t>
      </w:r>
    </w:p>
    <w:p w14:paraId="1B09AC09">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报价大写金额和小写金额不一致的，以大写金额为准。但大写金额文字存在错误的，应当先对大写金额的文字错误进行澄清、说明或者更正，再行修正。</w:t>
      </w:r>
    </w:p>
    <w:p w14:paraId="43AAAFAB">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修正后的报价经供应商确认后产生约束力，供应商不确认的，其响应文件作为无效处理。供应商确认采取书面方式并经供应商授权代表签字。谈判小组不得未经书面形式要求供应商确认，直接将供应商响应文件作为无效处理。</w:t>
      </w:r>
    </w:p>
    <w:p w14:paraId="1277FD54">
      <w:pPr>
        <w:pStyle w:val="10"/>
        <w:snapToGrid w:val="0"/>
        <w:spacing w:line="360" w:lineRule="auto"/>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4.3谈判小组</w:t>
      </w:r>
      <w:r>
        <w:rPr>
          <w:rFonts w:hint="eastAsia" w:ascii="仿宋_GB2312" w:hAnsi="仿宋_GB2312" w:eastAsia="仿宋_GB2312" w:cs="仿宋"/>
          <w:sz w:val="24"/>
          <w:szCs w:val="24"/>
          <w:lang w:val="zh-CN"/>
        </w:rPr>
        <w:t>对所有响应文件进行审查</w:t>
      </w:r>
      <w:r>
        <w:rPr>
          <w:rFonts w:hint="eastAsia" w:ascii="仿宋_GB2312" w:hAnsi="仿宋_GB2312" w:eastAsia="仿宋_GB2312" w:cs="仿宋"/>
          <w:sz w:val="24"/>
          <w:szCs w:val="24"/>
        </w:rPr>
        <w:t>后，确定参加谈判的供应商名单。</w:t>
      </w:r>
    </w:p>
    <w:p w14:paraId="09E90F46">
      <w:pPr>
        <w:pStyle w:val="3"/>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5.谈判</w:t>
      </w:r>
    </w:p>
    <w:p w14:paraId="5DE67B1B">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5.1谈判小组所有成员集中与单一供应商分别进行一轮或多轮谈判，并给予所有参加谈判的供应商平等的谈判机会。谈判顺序由谈判小组组长以现场/在线抽签的方式确定。谈判过程中，谈判小组可以根据谈判情况调整谈判轮次。</w:t>
      </w:r>
    </w:p>
    <w:p w14:paraId="5A87B69D">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5.2每轮谈判开始前，谈判小组应根据谈判文件的规定，并结合各供应商的响应文件拟定谈判内容。</w:t>
      </w:r>
    </w:p>
    <w:p w14:paraId="3EFF0E28">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5.3对谈判文件作出的实质性变动是谈判文件的有效组成部分，谈判小组应当及时以书面形式同时通知所有参加谈判的供应商。</w:t>
      </w:r>
    </w:p>
    <w:p w14:paraId="7612DB80">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w:t>
      </w:r>
      <w:r>
        <w:rPr>
          <w:rFonts w:hint="eastAsia" w:ascii="仿宋_GB2312" w:hAnsi="仿宋_GB2312" w:eastAsia="仿宋_GB2312" w:cs="仿宋"/>
          <w:b w:val="0"/>
          <w:bCs w:val="0"/>
          <w:color w:val="0D0D0D"/>
          <w:sz w:val="24"/>
          <w:szCs w:val="24"/>
        </w:rPr>
        <w:t>.4谈判过程中，谈判文件变动的，供应商应当按照谈判文件的变动情况和谈判小组的要求</w:t>
      </w:r>
      <w:r>
        <w:rPr>
          <w:rFonts w:ascii="仿宋_GB2312" w:hAnsi="仿宋_GB2312" w:eastAsia="仿宋_GB2312" w:cs="仿宋"/>
          <w:b w:val="0"/>
          <w:bCs w:val="0"/>
          <w:color w:val="0D0D0D"/>
          <w:sz w:val="24"/>
          <w:szCs w:val="24"/>
        </w:rPr>
        <w:t>就</w:t>
      </w:r>
      <w:r>
        <w:rPr>
          <w:rFonts w:hint="eastAsia" w:ascii="仿宋_GB2312" w:hAnsi="仿宋_GB2312" w:eastAsia="仿宋_GB2312" w:cs="仿宋"/>
          <w:b w:val="0"/>
          <w:bCs w:val="0"/>
          <w:color w:val="0D0D0D"/>
          <w:sz w:val="24"/>
          <w:szCs w:val="24"/>
        </w:rPr>
        <w:t>谈判文件</w:t>
      </w:r>
      <w:r>
        <w:rPr>
          <w:rFonts w:ascii="仿宋_GB2312" w:hAnsi="仿宋_GB2312" w:eastAsia="仿宋_GB2312" w:cs="仿宋"/>
          <w:b w:val="0"/>
          <w:bCs w:val="0"/>
          <w:color w:val="0D0D0D"/>
          <w:sz w:val="24"/>
          <w:szCs w:val="24"/>
        </w:rPr>
        <w:t>变动部分</w:t>
      </w:r>
      <w:r>
        <w:rPr>
          <w:rFonts w:hint="eastAsia" w:ascii="仿宋_GB2312" w:hAnsi="仿宋_GB2312" w:eastAsia="仿宋_GB2312" w:cs="仿宋"/>
          <w:b w:val="0"/>
          <w:bCs w:val="0"/>
          <w:color w:val="0D0D0D"/>
          <w:sz w:val="24"/>
          <w:szCs w:val="24"/>
        </w:rPr>
        <w:t>提交</w:t>
      </w:r>
      <w:r>
        <w:rPr>
          <w:rFonts w:ascii="仿宋_GB2312" w:hAnsi="仿宋_GB2312" w:eastAsia="仿宋_GB2312" w:cs="仿宋"/>
          <w:b w:val="0"/>
          <w:bCs w:val="0"/>
          <w:color w:val="0D0D0D"/>
          <w:sz w:val="24"/>
          <w:szCs w:val="24"/>
        </w:rPr>
        <w:t>书面响应</w:t>
      </w:r>
      <w:r>
        <w:rPr>
          <w:rFonts w:hint="eastAsia" w:ascii="仿宋_GB2312" w:hAnsi="仿宋_GB2312" w:eastAsia="仿宋_GB2312" w:cs="仿宋"/>
          <w:b w:val="0"/>
          <w:bCs w:val="0"/>
          <w:color w:val="0D0D0D"/>
          <w:sz w:val="24"/>
          <w:szCs w:val="24"/>
        </w:rPr>
        <w:t>材料，</w:t>
      </w:r>
      <w:r>
        <w:rPr>
          <w:rFonts w:ascii="仿宋_GB2312" w:hAnsi="仿宋_GB2312" w:eastAsia="仿宋_GB2312" w:cs="仿宋"/>
          <w:b w:val="0"/>
          <w:bCs w:val="0"/>
          <w:color w:val="0D0D0D"/>
          <w:sz w:val="24"/>
          <w:szCs w:val="24"/>
        </w:rPr>
        <w:t>并作为</w:t>
      </w:r>
      <w:r>
        <w:rPr>
          <w:rFonts w:hint="eastAsia" w:ascii="仿宋_GB2312" w:hAnsi="仿宋_GB2312" w:eastAsia="仿宋_GB2312" w:cs="仿宋"/>
          <w:b w:val="0"/>
          <w:bCs w:val="0"/>
          <w:color w:val="0D0D0D"/>
          <w:sz w:val="24"/>
          <w:szCs w:val="24"/>
        </w:rPr>
        <w:t>响应文件</w:t>
      </w:r>
      <w:r>
        <w:rPr>
          <w:rFonts w:ascii="仿宋_GB2312" w:hAnsi="仿宋_GB2312" w:eastAsia="仿宋_GB2312" w:cs="仿宋"/>
          <w:b w:val="0"/>
          <w:bCs w:val="0"/>
          <w:color w:val="0D0D0D"/>
          <w:sz w:val="24"/>
          <w:szCs w:val="24"/>
        </w:rPr>
        <w:t>的组成部分</w:t>
      </w:r>
      <w:r>
        <w:rPr>
          <w:rFonts w:hint="eastAsia" w:ascii="仿宋_GB2312" w:hAnsi="仿宋_GB2312" w:eastAsia="仿宋_GB2312" w:cs="仿宋"/>
          <w:b w:val="0"/>
          <w:bCs w:val="0"/>
          <w:color w:val="0D0D0D"/>
          <w:sz w:val="24"/>
          <w:szCs w:val="24"/>
        </w:rPr>
        <w:t>。</w:t>
      </w:r>
    </w:p>
    <w:p w14:paraId="4069F1EF">
      <w:pPr>
        <w:pStyle w:val="10"/>
        <w:snapToGrid w:val="0"/>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
          <w:sz w:val="24"/>
          <w:szCs w:val="24"/>
        </w:rPr>
        <w:t>5.</w:t>
      </w:r>
      <w:r>
        <w:rPr>
          <w:rFonts w:hint="eastAsia" w:ascii="仿宋_GB2312" w:hAnsi="仿宋_GB2312" w:eastAsia="仿宋_GB2312" w:cs="仿宋"/>
          <w:sz w:val="24"/>
          <w:szCs w:val="24"/>
        </w:rPr>
        <w:t>5</w:t>
      </w:r>
      <w:r>
        <w:rPr>
          <w:rFonts w:hint="eastAsia" w:ascii="仿宋_GB2312" w:hAnsi="仿宋_GB2312" w:eastAsia="仿宋_GB2312" w:cs="仿宋"/>
          <w:sz w:val="24"/>
          <w:szCs w:val="24"/>
          <w:lang w:val="zh-CN"/>
        </w:rPr>
        <w:t>经最终谈判后，响应文件仍有下列情况之一的，应按照无效响应文件处理：</w:t>
      </w:r>
    </w:p>
    <w:p w14:paraId="35747363">
      <w:pPr>
        <w:pStyle w:val="10"/>
        <w:snapToGrid w:val="0"/>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
          <w:sz w:val="24"/>
          <w:szCs w:val="24"/>
        </w:rPr>
        <w:t>（</w:t>
      </w:r>
      <w:r>
        <w:rPr>
          <w:rFonts w:ascii="仿宋_GB2312" w:hAnsi="仿宋_GB2312" w:eastAsia="仿宋_GB2312" w:cs="仿宋"/>
          <w:sz w:val="24"/>
          <w:szCs w:val="24"/>
        </w:rPr>
        <w:t>1</w:t>
      </w:r>
      <w:r>
        <w:rPr>
          <w:rFonts w:hint="eastAsia" w:ascii="仿宋_GB2312" w:hAnsi="仿宋_GB2312" w:eastAsia="仿宋_GB2312" w:cs="仿宋"/>
          <w:sz w:val="24"/>
          <w:szCs w:val="24"/>
        </w:rPr>
        <w:t>）</w:t>
      </w:r>
      <w:r>
        <w:rPr>
          <w:rFonts w:hint="eastAsia" w:ascii="仿宋_GB2312" w:hAnsi="仿宋_GB2312" w:eastAsia="仿宋_GB2312" w:cs="仿宋"/>
          <w:sz w:val="24"/>
          <w:szCs w:val="24"/>
          <w:lang w:val="zh-CN"/>
        </w:rPr>
        <w:t>响应文件仍不能实质响应谈判文件的实质性要求的；</w:t>
      </w:r>
    </w:p>
    <w:p w14:paraId="1A3083C6">
      <w:pPr>
        <w:pStyle w:val="10"/>
        <w:snapToGrid w:val="0"/>
        <w:spacing w:line="360" w:lineRule="auto"/>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w:t>
      </w:r>
      <w:r>
        <w:rPr>
          <w:rFonts w:ascii="仿宋_GB2312" w:hAnsi="仿宋_GB2312" w:eastAsia="仿宋_GB2312" w:cs="仿宋"/>
          <w:sz w:val="24"/>
          <w:szCs w:val="24"/>
        </w:rPr>
        <w:t>2</w:t>
      </w:r>
      <w:r>
        <w:rPr>
          <w:rFonts w:hint="eastAsia" w:ascii="仿宋_GB2312" w:hAnsi="仿宋_GB2312" w:eastAsia="仿宋_GB2312" w:cs="仿宋"/>
          <w:sz w:val="24"/>
          <w:szCs w:val="24"/>
        </w:rPr>
        <w:t>）响应文件中仍有谈判文件规定的其他无效响应情形的。</w:t>
      </w:r>
    </w:p>
    <w:p w14:paraId="0DA57D0F">
      <w:pPr>
        <w:pStyle w:val="10"/>
        <w:snapToGrid w:val="0"/>
        <w:spacing w:line="360" w:lineRule="auto"/>
        <w:ind w:firstLine="480" w:firstLineChars="200"/>
        <w:rPr>
          <w:rFonts w:ascii="仿宋_GB2312" w:hAnsi="仿宋_GB2312" w:eastAsia="仿宋_GB2312" w:cs="仿宋"/>
          <w:sz w:val="24"/>
          <w:szCs w:val="24"/>
        </w:rPr>
      </w:pPr>
      <w:r>
        <w:rPr>
          <w:rFonts w:ascii="仿宋_GB2312" w:hAnsi="仿宋_GB2312" w:eastAsia="仿宋_GB2312" w:cs="仿宋"/>
          <w:sz w:val="24"/>
          <w:szCs w:val="24"/>
        </w:rPr>
        <w:t>5.7</w:t>
      </w:r>
      <w:r>
        <w:rPr>
          <w:rFonts w:hint="eastAsia" w:ascii="仿宋_GB2312" w:hAnsi="仿宋_GB2312" w:eastAsia="仿宋_GB2312" w:cs="仿宋"/>
          <w:sz w:val="24"/>
          <w:szCs w:val="24"/>
        </w:rPr>
        <w:t>谈判小组对</w:t>
      </w:r>
      <w:r>
        <w:rPr>
          <w:rFonts w:ascii="仿宋_GB2312" w:hAnsi="仿宋_GB2312" w:eastAsia="仿宋_GB2312" w:cs="仿宋"/>
          <w:sz w:val="24"/>
          <w:szCs w:val="24"/>
        </w:rPr>
        <w:t>供应商在</w:t>
      </w:r>
      <w:r>
        <w:rPr>
          <w:rFonts w:hint="eastAsia" w:ascii="仿宋_GB2312" w:hAnsi="仿宋_GB2312" w:eastAsia="仿宋_GB2312" w:cs="仿宋"/>
          <w:sz w:val="24"/>
          <w:szCs w:val="24"/>
        </w:rPr>
        <w:t>谈判、</w:t>
      </w:r>
      <w:r>
        <w:rPr>
          <w:rFonts w:ascii="仿宋_GB2312" w:hAnsi="仿宋_GB2312" w:eastAsia="仿宋_GB2312" w:cs="仿宋"/>
          <w:sz w:val="24"/>
          <w:szCs w:val="24"/>
        </w:rPr>
        <w:t>评审过程中的书面交换材料</w:t>
      </w:r>
      <w:r>
        <w:rPr>
          <w:rFonts w:hint="eastAsia" w:ascii="仿宋_GB2312" w:hAnsi="仿宋_GB2312" w:eastAsia="仿宋_GB2312" w:cs="仿宋"/>
          <w:sz w:val="24"/>
          <w:szCs w:val="24"/>
        </w:rPr>
        <w:t>，</w:t>
      </w:r>
      <w:r>
        <w:rPr>
          <w:rFonts w:ascii="仿宋_GB2312" w:hAnsi="仿宋_GB2312" w:eastAsia="仿宋_GB2312" w:cs="仿宋"/>
          <w:sz w:val="24"/>
          <w:szCs w:val="24"/>
        </w:rPr>
        <w:t>未按要求加盖电子印章</w:t>
      </w:r>
      <w:r>
        <w:rPr>
          <w:rFonts w:hint="eastAsia" w:ascii="仿宋_GB2312" w:hAnsi="仿宋_GB2312" w:eastAsia="仿宋_GB2312" w:cs="仿宋"/>
          <w:sz w:val="24"/>
          <w:szCs w:val="24"/>
        </w:rPr>
        <w:t>或签字</w:t>
      </w:r>
      <w:r>
        <w:rPr>
          <w:rFonts w:ascii="仿宋_GB2312" w:hAnsi="仿宋_GB2312" w:eastAsia="仿宋_GB2312" w:cs="仿宋"/>
          <w:sz w:val="24"/>
          <w:szCs w:val="24"/>
        </w:rPr>
        <w:t>的</w:t>
      </w:r>
      <w:r>
        <w:rPr>
          <w:rFonts w:hint="eastAsia" w:ascii="仿宋_GB2312" w:hAnsi="仿宋_GB2312" w:eastAsia="仿宋_GB2312" w:cs="仿宋"/>
          <w:sz w:val="24"/>
          <w:szCs w:val="24"/>
        </w:rPr>
        <w:t>，</w:t>
      </w:r>
      <w:r>
        <w:rPr>
          <w:rFonts w:ascii="仿宋_GB2312" w:hAnsi="仿宋_GB2312" w:eastAsia="仿宋_GB2312" w:cs="仿宋"/>
          <w:sz w:val="24"/>
          <w:szCs w:val="24"/>
        </w:rPr>
        <w:t>视同未提交书面交换材料</w:t>
      </w:r>
      <w:r>
        <w:rPr>
          <w:rFonts w:hint="eastAsia" w:ascii="仿宋_GB2312" w:hAnsi="仿宋_GB2312" w:eastAsia="仿宋_GB2312" w:cs="仿宋"/>
          <w:sz w:val="24"/>
          <w:szCs w:val="24"/>
        </w:rPr>
        <w:t>。</w:t>
      </w:r>
    </w:p>
    <w:p w14:paraId="5253FA46">
      <w:pPr>
        <w:pStyle w:val="10"/>
        <w:snapToGrid w:val="0"/>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
          <w:sz w:val="24"/>
          <w:szCs w:val="24"/>
        </w:rPr>
        <w:t>5.8</w:t>
      </w:r>
      <w:r>
        <w:rPr>
          <w:rFonts w:hint="eastAsia" w:ascii="仿宋_GB2312" w:hAnsi="仿宋_GB2312" w:eastAsia="仿宋_GB2312" w:cs="仿宋"/>
          <w:sz w:val="24"/>
          <w:szCs w:val="24"/>
        </w:rPr>
        <w:t>谈判小组在最终谈判后，</w:t>
      </w:r>
      <w:r>
        <w:rPr>
          <w:rFonts w:hint="eastAsia" w:ascii="仿宋_GB2312" w:hAnsi="仿宋_GB2312" w:eastAsia="仿宋_GB2312" w:cs="仿宋"/>
          <w:sz w:val="24"/>
          <w:szCs w:val="24"/>
          <w:lang w:val="zh-CN"/>
        </w:rPr>
        <w:t>对所有响应文件的有效性、完整性和响应程度进行审查</w:t>
      </w:r>
      <w:r>
        <w:rPr>
          <w:rFonts w:hint="eastAsia" w:ascii="仿宋_GB2312" w:hAnsi="仿宋_GB2312" w:eastAsia="仿宋_GB2312" w:cs="仿宋"/>
          <w:sz w:val="24"/>
          <w:szCs w:val="24"/>
        </w:rPr>
        <w:t>后，确定最后报价的供应商名单。</w:t>
      </w:r>
    </w:p>
    <w:p w14:paraId="54A4BCA0">
      <w:pPr>
        <w:pStyle w:val="3"/>
        <w:keepNext w:val="0"/>
        <w:keepLines w:val="0"/>
        <w:spacing w:before="0" w:after="0" w:line="360" w:lineRule="auto"/>
        <w:ind w:firstLine="470" w:firstLineChars="196"/>
        <w:rPr>
          <w:rFonts w:ascii="仿宋_GB2312" w:hAnsi="仿宋_GB2312" w:eastAsia="仿宋_GB2312" w:cs="Times New Roman"/>
          <w:b w:val="0"/>
          <w:bCs w:val="0"/>
          <w:sz w:val="24"/>
          <w:szCs w:val="24"/>
        </w:rPr>
      </w:pPr>
      <w:r>
        <w:rPr>
          <w:rFonts w:ascii="仿宋_GB2312" w:hAnsi="仿宋_GB2312" w:eastAsia="仿宋_GB2312" w:cs="仿宋"/>
          <w:b w:val="0"/>
          <w:bCs w:val="0"/>
          <w:sz w:val="24"/>
          <w:szCs w:val="24"/>
        </w:rPr>
        <w:t>5.9</w:t>
      </w:r>
      <w:r>
        <w:rPr>
          <w:rFonts w:hint="eastAsia" w:ascii="仿宋_GB2312" w:hAnsi="仿宋_GB2312" w:eastAsia="仿宋_GB2312" w:cs="仿宋"/>
          <w:b w:val="0"/>
          <w:bCs w:val="0"/>
          <w:sz w:val="24"/>
          <w:szCs w:val="24"/>
        </w:rPr>
        <w:t>谈判过程中，谈判的任何一方不得透露与谈判有关的其他供应商的技术资料、价格和其他信息。</w:t>
      </w:r>
    </w:p>
    <w:p w14:paraId="74EBF6C1">
      <w:pPr>
        <w:pStyle w:val="3"/>
        <w:keepNext w:val="0"/>
        <w:keepLines w:val="0"/>
        <w:spacing w:before="0" w:after="0" w:line="360" w:lineRule="auto"/>
        <w:ind w:firstLine="470" w:firstLineChars="196"/>
        <w:rPr>
          <w:rFonts w:ascii="仿宋_GB2312" w:hAnsi="仿宋_GB2312" w:eastAsia="仿宋_GB2312" w:cs="Times New Roman"/>
          <w:b w:val="0"/>
          <w:bCs w:val="0"/>
          <w:sz w:val="24"/>
          <w:szCs w:val="24"/>
        </w:rPr>
      </w:pPr>
      <w:r>
        <w:rPr>
          <w:rFonts w:ascii="仿宋_GB2312" w:hAnsi="仿宋_GB2312" w:eastAsia="仿宋_GB2312" w:cs="仿宋"/>
          <w:b w:val="0"/>
          <w:bCs w:val="0"/>
          <w:sz w:val="24"/>
          <w:szCs w:val="24"/>
        </w:rPr>
        <w:t>5.10</w:t>
      </w:r>
      <w:r>
        <w:rPr>
          <w:rFonts w:hint="eastAsia" w:ascii="仿宋_GB2312" w:hAnsi="仿宋_GB2312" w:eastAsia="仿宋_GB2312" w:cs="仿宋"/>
          <w:b w:val="0"/>
          <w:bCs w:val="0"/>
          <w:sz w:val="24"/>
          <w:szCs w:val="24"/>
        </w:rPr>
        <w:t>谈判过程中，谈判小组发现或者知晓供应商存在违法行为的，应当在谈判情况记录表中予以注明，并向财政部门报告，依法应将该供应商响应文件作无效处理的，应当作无效处理。</w:t>
      </w:r>
    </w:p>
    <w:p w14:paraId="576BB4E1">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6.</w:t>
      </w:r>
      <w:r>
        <w:rPr>
          <w:rFonts w:hint="eastAsia" w:ascii="仿宋_GB2312" w:hAnsi="仿宋_GB2312" w:eastAsia="仿宋_GB2312" w:cs="仿宋"/>
          <w:b/>
          <w:bCs/>
        </w:rPr>
        <w:t>报价</w:t>
      </w:r>
    </w:p>
    <w:p w14:paraId="6D395A09">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rPr>
        <w:t>6.1</w:t>
      </w:r>
      <w:r>
        <w:rPr>
          <w:rFonts w:hint="eastAsia" w:ascii="仿宋_GB2312" w:hAnsi="仿宋_GB2312" w:eastAsia="仿宋_GB2312" w:cs="仿宋"/>
        </w:rPr>
        <w:t>谈判结束后，谈判小组应当要求所有实质性响应的供应商在谈判小组要求时间内</w:t>
      </w:r>
      <w:r>
        <w:rPr>
          <w:rFonts w:hint="eastAsia" w:ascii="仿宋_GB2312" w:hAnsi="仿宋_GB2312" w:eastAsia="仿宋_GB2312" w:cs="仿宋"/>
          <w:color w:val="000000" w:themeColor="text1"/>
          <w14:textFill>
            <w14:solidFill>
              <w14:schemeClr w14:val="tx1"/>
            </w14:solidFill>
          </w14:textFill>
        </w:rPr>
        <w:t>提交最后报价，提交最后报价的供应商不得少于</w:t>
      </w: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家。</w:t>
      </w:r>
    </w:p>
    <w:p w14:paraId="2714153E">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6.2</w:t>
      </w:r>
      <w:r>
        <w:rPr>
          <w:rFonts w:hint="eastAsia" w:ascii="仿宋_GB2312" w:hAnsi="仿宋_GB2312" w:eastAsia="仿宋_GB2312" w:cs="仿宋"/>
          <w:color w:val="000000" w:themeColor="text1"/>
          <w14:textFill>
            <w14:solidFill>
              <w14:schemeClr w14:val="tx1"/>
            </w14:solidFill>
          </w14:textFill>
        </w:rPr>
        <w:t>供应商在未提高响应文件中承诺的标准情况下，其最后报价不得高于对该项目之前的报价，否则，谈判小组应当对其响应文件作无效处理，并书面告知供应商，说明理由。</w:t>
      </w:r>
    </w:p>
    <w:p w14:paraId="775E5190">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6.3</w:t>
      </w:r>
      <w:r>
        <w:rPr>
          <w:rFonts w:hint="eastAsia" w:ascii="仿宋_GB2312" w:hAnsi="仿宋_GB2312" w:eastAsia="仿宋_GB2312" w:cs="仿宋"/>
          <w:color w:val="000000" w:themeColor="text1"/>
          <w14:textFill>
            <w14:solidFill>
              <w14:schemeClr w14:val="tx1"/>
            </w14:solidFill>
          </w14:textFill>
        </w:rPr>
        <w:t>供应商最后报价属于明显低价不正当竞争的，谈判小组应按照“供应商须知附表”第2项规定处理。</w:t>
      </w:r>
    </w:p>
    <w:p w14:paraId="28B124B8">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6.4</w:t>
      </w:r>
      <w:r>
        <w:rPr>
          <w:rFonts w:hint="eastAsia" w:ascii="仿宋_GB2312" w:hAnsi="仿宋_GB2312" w:eastAsia="仿宋_GB2312" w:cs="仿宋"/>
          <w:color w:val="000000" w:themeColor="text1"/>
          <w14:textFill>
            <w14:solidFill>
              <w14:schemeClr w14:val="tx1"/>
            </w14:solidFill>
          </w14:textFill>
        </w:rPr>
        <w:t>参与报价的供应商按谈判小组要求进行报价。报价超过竞争性谈判文件规定的最高限价报价规定的，应按照无效响应文件处理。</w:t>
      </w:r>
    </w:p>
    <w:p w14:paraId="13A6C3B3">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6.5</w:t>
      </w:r>
      <w:r>
        <w:rPr>
          <w:rFonts w:hint="eastAsia" w:ascii="仿宋_GB2312" w:hAnsi="仿宋_GB2312" w:eastAsia="仿宋_GB2312" w:cs="仿宋"/>
          <w:color w:val="000000" w:themeColor="text1"/>
          <w14:textFill>
            <w14:solidFill>
              <w14:schemeClr w14:val="tx1"/>
            </w14:solidFill>
          </w14:textFill>
        </w:rPr>
        <w:t>供应商报价应当</w:t>
      </w:r>
      <w:r>
        <w:rPr>
          <w:rFonts w:ascii="仿宋_GB2312" w:hAnsi="仿宋_GB2312" w:eastAsia="仿宋_GB2312" w:cs="仿宋"/>
          <w:color w:val="000000" w:themeColor="text1"/>
          <w14:textFill>
            <w14:solidFill>
              <w14:schemeClr w14:val="tx1"/>
            </w14:solidFill>
          </w14:textFill>
        </w:rPr>
        <w:t>采取书面形式报价</w:t>
      </w:r>
      <w:r>
        <w:rPr>
          <w:rFonts w:hint="eastAsia" w:ascii="仿宋_GB2312" w:hAnsi="仿宋_GB2312" w:eastAsia="仿宋_GB2312" w:cs="仿宋"/>
          <w:color w:val="000000" w:themeColor="text1"/>
          <w14:textFill>
            <w14:solidFill>
              <w14:schemeClr w14:val="tx1"/>
            </w14:solidFill>
          </w14:textFill>
        </w:rPr>
        <w:t>，报价是供应商响应文件的有效组成部分。</w:t>
      </w:r>
    </w:p>
    <w:p w14:paraId="179DE7D0">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7.</w:t>
      </w:r>
      <w:r>
        <w:rPr>
          <w:rFonts w:hint="eastAsia" w:ascii="仿宋_GB2312" w:hAnsi="仿宋_GB2312" w:eastAsia="仿宋_GB2312" w:cs="仿宋"/>
          <w:b/>
          <w:bCs/>
        </w:rPr>
        <w:t>说明</w:t>
      </w:r>
    </w:p>
    <w:p w14:paraId="3B61480B">
      <w:pPr>
        <w:adjustRightInd w:val="0"/>
        <w:snapToGrid w:val="0"/>
        <w:spacing w:line="360" w:lineRule="auto"/>
        <w:ind w:firstLine="480" w:firstLineChars="200"/>
        <w:rPr>
          <w:rFonts w:ascii="仿宋_GB2312" w:hAnsi="仿宋_GB2312" w:eastAsia="仿宋_GB2312"/>
        </w:rPr>
      </w:pPr>
      <w:r>
        <w:rPr>
          <w:rFonts w:ascii="仿宋_GB2312" w:hAnsi="仿宋_GB2312" w:eastAsia="仿宋_GB2312" w:cs="仿宋"/>
        </w:rPr>
        <w:t>7.1</w:t>
      </w:r>
      <w:r>
        <w:rPr>
          <w:rFonts w:hint="eastAsia" w:ascii="仿宋_GB2312" w:hAnsi="仿宋_GB2312" w:eastAsia="仿宋_GB2312" w:cs="仿宋"/>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67A848">
      <w:pPr>
        <w:adjustRightInd w:val="0"/>
        <w:snapToGrid w:val="0"/>
        <w:spacing w:line="360" w:lineRule="auto"/>
        <w:ind w:firstLine="480" w:firstLineChars="200"/>
        <w:rPr>
          <w:rFonts w:ascii="仿宋_GB2312" w:hAnsi="仿宋_GB2312" w:eastAsia="仿宋_GB2312"/>
        </w:rPr>
      </w:pPr>
      <w:r>
        <w:rPr>
          <w:rFonts w:ascii="仿宋_GB2312" w:hAnsi="仿宋_GB2312" w:eastAsia="仿宋_GB2312" w:cs="仿宋"/>
        </w:rPr>
        <w:t>7.2</w:t>
      </w:r>
      <w:r>
        <w:rPr>
          <w:rFonts w:hint="eastAsia" w:ascii="仿宋_GB2312" w:hAnsi="仿宋_GB2312" w:eastAsia="仿宋_GB2312" w:cs="仿宋"/>
        </w:rPr>
        <w:t>谈判小组要求供应商在合理时间内（不得少</w:t>
      </w:r>
      <w:r>
        <w:rPr>
          <w:rFonts w:hint="eastAsia" w:ascii="仿宋_GB2312" w:hAnsi="仿宋_GB2312" w:eastAsia="仿宋_GB2312" w:cs="仿宋"/>
          <w:color w:val="000000" w:themeColor="text1"/>
          <w14:textFill>
            <w14:solidFill>
              <w14:schemeClr w14:val="tx1"/>
            </w14:solidFill>
          </w14:textFill>
        </w:rPr>
        <w:t>于10</w:t>
      </w:r>
      <w:r>
        <w:rPr>
          <w:rFonts w:hint="eastAsia" w:ascii="仿宋_GB2312" w:hAnsi="仿宋_GB2312" w:eastAsia="仿宋_GB2312" w:cs="仿宋"/>
        </w:rPr>
        <w:t>分钟，但</w:t>
      </w:r>
      <w:r>
        <w:rPr>
          <w:rFonts w:ascii="仿宋_GB2312" w:hAnsi="仿宋_GB2312" w:eastAsia="仿宋_GB2312" w:cs="仿宋"/>
        </w:rPr>
        <w:t>供应商已明确表示澄清、说明、更正完毕的除外</w:t>
      </w:r>
      <w:r>
        <w:rPr>
          <w:rFonts w:hint="eastAsia" w:ascii="仿宋_GB2312" w:hAnsi="仿宋_GB2312" w:eastAsia="仿宋_GB2312" w:cs="仿宋"/>
        </w:rPr>
        <w:t>）澄清、说明或者更正响应文件应当以书面形式作出。</w:t>
      </w:r>
      <w:r>
        <w:rPr>
          <w:rFonts w:ascii="仿宋_GB2312" w:hAnsi="仿宋_GB2312" w:eastAsia="仿宋_GB2312" w:cs="仿宋"/>
        </w:rPr>
        <w:t>供应商未在</w:t>
      </w:r>
      <w:r>
        <w:rPr>
          <w:rFonts w:hint="eastAsia" w:ascii="仿宋_GB2312" w:hAnsi="仿宋_GB2312" w:eastAsia="仿宋_GB2312" w:cs="仿宋"/>
        </w:rPr>
        <w:t>谈判小组要求的合理</w:t>
      </w:r>
      <w:r>
        <w:rPr>
          <w:rFonts w:ascii="仿宋_GB2312" w:hAnsi="仿宋_GB2312" w:eastAsia="仿宋_GB2312" w:cs="仿宋"/>
        </w:rPr>
        <w:t>时间内按要求澄清、说明、更正的，视为放弃。</w:t>
      </w:r>
    </w:p>
    <w:p w14:paraId="49CEC1DD">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8.</w:t>
      </w:r>
      <w:r>
        <w:rPr>
          <w:rFonts w:hint="eastAsia" w:ascii="仿宋_GB2312" w:hAnsi="仿宋_GB2312" w:eastAsia="仿宋_GB2312" w:cs="仿宋"/>
          <w:b/>
          <w:bCs/>
        </w:rPr>
        <w:t>谈判小组复核</w:t>
      </w:r>
    </w:p>
    <w:p w14:paraId="1D4BA0EA">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供应商最后报价结束后，谈判小组应当进行评审复核，对拟推荐为成交候选供应商的、报价最低的、供应商响应文件作无效处理的重点复核。</w:t>
      </w:r>
    </w:p>
    <w:p w14:paraId="44E75456">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9.</w:t>
      </w:r>
      <w:r>
        <w:rPr>
          <w:rFonts w:hint="eastAsia" w:ascii="仿宋_GB2312" w:hAnsi="仿宋_GB2312" w:eastAsia="仿宋_GB2312" w:cs="仿宋"/>
          <w:b/>
          <w:bCs/>
        </w:rPr>
        <w:t>推荐成交候选供应商</w:t>
      </w:r>
    </w:p>
    <w:p w14:paraId="27B1362D">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谈判小组复核后，应当从质量和服务均能满足采购文件实质性响应要求的供应商中</w:t>
      </w:r>
      <w:r>
        <w:rPr>
          <w:rFonts w:hint="eastAsia" w:ascii="仿宋_GB2312" w:hAnsi="仿宋_GB2312" w:eastAsia="仿宋_GB2312" w:cs="仿宋"/>
          <w:b w:val="0"/>
          <w:bCs w:val="0"/>
          <w:color w:val="000000" w:themeColor="text1"/>
          <w:sz w:val="24"/>
          <w:szCs w:val="24"/>
          <w14:textFill>
            <w14:solidFill>
              <w14:schemeClr w14:val="tx1"/>
            </w14:solidFill>
          </w14:textFill>
        </w:rPr>
        <w:t>，按照最后报价由低到高顺序推荐3家以上成交候选供应商，并编写谈判报告。供应商报价相同的，采取随机抽取的方式决定推荐候选供应商。</w:t>
      </w:r>
    </w:p>
    <w:p w14:paraId="569D54A6">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10.</w:t>
      </w:r>
      <w:r>
        <w:rPr>
          <w:rFonts w:hint="eastAsia" w:ascii="仿宋_GB2312" w:hAnsi="仿宋_GB2312" w:eastAsia="仿宋_GB2312" w:cs="仿宋"/>
          <w:b/>
          <w:bCs/>
        </w:rPr>
        <w:t>采购组织单位现场复核评审结果</w:t>
      </w:r>
    </w:p>
    <w:p w14:paraId="2A6024D2">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10.1推荐成交候选供应商后，谈判小组拟出具谈判报告前，采购人应当组织2名以上的本单位工作人员，在采购现场监督人员的监督之下，依据有关的法律制度和谈判文件对评审结果进行复核，出具复核报告。</w:t>
      </w:r>
    </w:p>
    <w:p w14:paraId="11B8F311">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10.2采购人复核过程中，谈判小组成员不得离开评审现场。</w:t>
      </w:r>
    </w:p>
    <w:p w14:paraId="090BE2FD">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11.</w:t>
      </w:r>
      <w:r>
        <w:rPr>
          <w:rFonts w:hint="eastAsia" w:ascii="仿宋_GB2312" w:hAnsi="仿宋_GB2312" w:eastAsia="仿宋_GB2312" w:cs="仿宋"/>
          <w:b/>
          <w:bCs/>
        </w:rPr>
        <w:t>编写谈判报告</w:t>
      </w:r>
    </w:p>
    <w:p w14:paraId="53EFD701">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谈判小组推荐成交候选供应商后，应向采购人出具谈判报告。谈判报告应当包括以下主要内容：</w:t>
      </w:r>
    </w:p>
    <w:p w14:paraId="2FA98A6F">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（1）邀请供应商参加采购活动的具体方式和相关情况，以及参加采购活动的供应商名单；</w:t>
      </w:r>
    </w:p>
    <w:p w14:paraId="4E5737ED">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（2）评审日期和地点，谈判小组成员名单；</w:t>
      </w:r>
    </w:p>
    <w:p w14:paraId="29EAA85F">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（3）评审情况记录和说明，包括供应商响应文件审查情况、谈判情况、报价情况等；</w:t>
      </w:r>
    </w:p>
    <w:p w14:paraId="33925691">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（4）推荐的成交候选人的名单及理由。</w:t>
      </w:r>
    </w:p>
    <w:p w14:paraId="4444800C">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777FB040">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12.</w:t>
      </w:r>
      <w:r>
        <w:rPr>
          <w:rFonts w:hint="eastAsia" w:ascii="仿宋_GB2312" w:hAnsi="仿宋_GB2312" w:eastAsia="仿宋_GB2312" w:cs="仿宋"/>
          <w:b/>
          <w:bCs/>
        </w:rPr>
        <w:t>谈判异议处理规则</w:t>
      </w:r>
    </w:p>
    <w:p w14:paraId="4C2B1D22">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在谈判过程中，谈判小组成员对响应文件是否符合谈判文件规定存在争议的，应当以少数服从多数的原则处理，但不得违背谈判文件规定。有不同意见的谈判小组成员认为认定过程和结果不符合法律法规或者谈判文件规定的，应当在谈判报告中予以反映。</w:t>
      </w:r>
    </w:p>
    <w:p w14:paraId="207CFC73">
      <w:pPr>
        <w:spacing w:line="360" w:lineRule="auto"/>
        <w:ind w:firstLine="482" w:firstLineChars="200"/>
        <w:rPr>
          <w:rFonts w:ascii="仿宋_GB2312" w:hAnsi="仿宋_GB2312" w:eastAsia="仿宋_GB2312"/>
          <w:b/>
          <w:bCs/>
        </w:rPr>
      </w:pPr>
      <w:r>
        <w:rPr>
          <w:rFonts w:ascii="仿宋_GB2312" w:hAnsi="仿宋_GB2312" w:eastAsia="仿宋_GB2312" w:cs="仿宋"/>
          <w:b/>
          <w:bCs/>
        </w:rPr>
        <w:t>13.</w:t>
      </w:r>
      <w:r>
        <w:rPr>
          <w:rFonts w:hint="eastAsia" w:ascii="仿宋_GB2312" w:hAnsi="仿宋_GB2312" w:eastAsia="仿宋_GB2312" w:cs="仿宋"/>
          <w:b/>
          <w:bCs/>
        </w:rPr>
        <w:t>终止谈判采购活动</w:t>
      </w:r>
    </w:p>
    <w:p w14:paraId="521919DB">
      <w:pPr>
        <w:spacing w:line="360" w:lineRule="auto"/>
        <w:ind w:firstLine="480" w:firstLineChars="200"/>
        <w:rPr>
          <w:rFonts w:ascii="仿宋_GB2312" w:hAnsi="仿宋_GB2312" w:eastAsia="仿宋_GB2312"/>
        </w:rPr>
      </w:pPr>
      <w:r>
        <w:rPr>
          <w:rFonts w:hint="eastAsia" w:ascii="仿宋_GB2312" w:hAnsi="仿宋_GB2312" w:eastAsia="仿宋_GB2312" w:cs="仿宋"/>
        </w:rPr>
        <w:t>出现下列情形之一的，采购人应当终止竞争性谈判采购活动，发布项目终止公告并说明原因，重新开展采购活动：</w:t>
      </w:r>
    </w:p>
    <w:p w14:paraId="6A3ADBD3">
      <w:pPr>
        <w:spacing w:line="360" w:lineRule="auto"/>
        <w:ind w:firstLine="480" w:firstLineChars="200"/>
        <w:rPr>
          <w:rFonts w:ascii="仿宋_GB2312" w:hAnsi="仿宋_GB2312" w:eastAsia="仿宋_GB2312"/>
        </w:rPr>
      </w:pPr>
      <w:r>
        <w:rPr>
          <w:rFonts w:hint="eastAsia" w:ascii="仿宋_GB2312" w:hAnsi="仿宋_GB2312" w:eastAsia="仿宋_GB2312" w:cs="仿宋"/>
        </w:rPr>
        <w:t>（</w:t>
      </w:r>
      <w:r>
        <w:rPr>
          <w:rFonts w:ascii="仿宋_GB2312" w:hAnsi="仿宋_GB2312" w:eastAsia="仿宋_GB2312" w:cs="仿宋"/>
        </w:rPr>
        <w:t>1</w:t>
      </w:r>
      <w:r>
        <w:rPr>
          <w:rFonts w:hint="eastAsia" w:ascii="仿宋_GB2312" w:hAnsi="仿宋_GB2312" w:eastAsia="仿宋_GB2312" w:cs="仿宋"/>
        </w:rPr>
        <w:t>）因情况变化，不再符合规定的竞争性谈判采购方式适用情形的；</w:t>
      </w:r>
    </w:p>
    <w:p w14:paraId="54FE0C57">
      <w:pPr>
        <w:spacing w:line="360" w:lineRule="auto"/>
        <w:ind w:firstLine="480" w:firstLineChars="200"/>
        <w:rPr>
          <w:rFonts w:ascii="仿宋_GB2312" w:hAnsi="仿宋_GB2312" w:eastAsia="仿宋_GB2312"/>
        </w:rPr>
      </w:pPr>
      <w:r>
        <w:rPr>
          <w:rFonts w:hint="eastAsia" w:ascii="仿宋_GB2312" w:hAnsi="仿宋_GB2312" w:eastAsia="仿宋_GB2312" w:cs="仿宋"/>
        </w:rPr>
        <w:t>（</w:t>
      </w:r>
      <w:r>
        <w:rPr>
          <w:rFonts w:ascii="仿宋_GB2312" w:hAnsi="仿宋_GB2312" w:eastAsia="仿宋_GB2312" w:cs="仿宋"/>
        </w:rPr>
        <w:t>2</w:t>
      </w:r>
      <w:r>
        <w:rPr>
          <w:rFonts w:hint="eastAsia" w:ascii="仿宋_GB2312" w:hAnsi="仿宋_GB2312" w:eastAsia="仿宋_GB2312" w:cs="仿宋"/>
        </w:rPr>
        <w:t>）出现影响采购公正的违法、违规行为的；</w:t>
      </w:r>
    </w:p>
    <w:p w14:paraId="065CD122">
      <w:pPr>
        <w:spacing w:line="360" w:lineRule="auto"/>
        <w:ind w:firstLine="480" w:firstLineChars="200"/>
        <w:rPr>
          <w:rFonts w:ascii="仿宋_GB2312" w:hAnsi="仿宋_GB2312" w:eastAsia="仿宋_GB2312"/>
        </w:rPr>
      </w:pPr>
      <w:r>
        <w:rPr>
          <w:rFonts w:hint="eastAsia" w:ascii="仿宋_GB2312" w:hAnsi="仿宋_GB2312" w:eastAsia="仿宋_GB2312" w:cs="仿宋"/>
        </w:rPr>
        <w:t>（</w:t>
      </w:r>
      <w:r>
        <w:rPr>
          <w:rFonts w:ascii="仿宋_GB2312" w:hAnsi="仿宋_GB2312" w:eastAsia="仿宋_GB2312" w:cs="仿宋"/>
        </w:rPr>
        <w:t>3</w:t>
      </w:r>
      <w:r>
        <w:rPr>
          <w:rFonts w:hint="eastAsia" w:ascii="仿宋_GB2312" w:hAnsi="仿宋_GB2312" w:eastAsia="仿宋_GB2312" w:cs="仿宋"/>
        </w:rPr>
        <w:t>）在采购过程中符合要求的供应商或者报价未超过最高限价的供应商不足</w:t>
      </w:r>
      <w:r>
        <w:rPr>
          <w:rFonts w:ascii="仿宋_GB2312" w:hAnsi="仿宋_GB2312" w:eastAsia="仿宋_GB2312" w:cs="仿宋"/>
        </w:rPr>
        <w:t>3</w:t>
      </w:r>
      <w:r>
        <w:rPr>
          <w:rFonts w:hint="eastAsia" w:ascii="仿宋_GB2312" w:hAnsi="仿宋_GB2312" w:eastAsia="仿宋_GB2312" w:cs="仿宋"/>
        </w:rPr>
        <w:t>家的。</w:t>
      </w:r>
      <w:bookmarkEnd w:id="66"/>
      <w:bookmarkEnd w:id="67"/>
      <w:bookmarkEnd w:id="68"/>
      <w:bookmarkEnd w:id="69"/>
    </w:p>
    <w:p w14:paraId="4EECECDE">
      <w:pPr>
        <w:tabs>
          <w:tab w:val="left" w:pos="7665"/>
        </w:tabs>
        <w:spacing w:line="360" w:lineRule="auto"/>
        <w:ind w:firstLine="482" w:firstLineChars="200"/>
        <w:rPr>
          <w:rFonts w:ascii="仿宋_GB2312" w:hAnsi="仿宋_GB2312" w:eastAsia="仿宋_GB2312"/>
          <w:b/>
          <w:bCs/>
        </w:rPr>
      </w:pPr>
      <w:r>
        <w:rPr>
          <w:rFonts w:hint="eastAsia" w:ascii="仿宋_GB2312" w:hAnsi="仿宋_GB2312" w:eastAsia="仿宋_GB2312" w:cs="仿宋"/>
          <w:b/>
        </w:rPr>
        <w:t>1</w:t>
      </w:r>
      <w:r>
        <w:rPr>
          <w:rFonts w:ascii="仿宋_GB2312" w:hAnsi="仿宋_GB2312" w:eastAsia="仿宋_GB2312" w:cs="仿宋"/>
          <w:b/>
        </w:rPr>
        <w:t>4.</w:t>
      </w:r>
      <w:bookmarkEnd w:id="70"/>
      <w:r>
        <w:rPr>
          <w:rFonts w:hint="eastAsia" w:ascii="仿宋_GB2312" w:hAnsi="仿宋_GB2312" w:eastAsia="仿宋_GB2312" w:cs="仿宋"/>
          <w:b/>
          <w:bCs/>
        </w:rPr>
        <w:t>谈判小组在采购活动中承担以下义务：</w:t>
      </w:r>
    </w:p>
    <w:p w14:paraId="6D5D3BD2">
      <w:pPr>
        <w:pStyle w:val="28"/>
        <w:tabs>
          <w:tab w:val="left" w:pos="7665"/>
        </w:tabs>
        <w:spacing w:line="360" w:lineRule="auto"/>
        <w:ind w:firstLine="48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.1遵守评审工作纪律；</w:t>
      </w:r>
    </w:p>
    <w:p w14:paraId="3569A7F5">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.2按照客观、公正、审慎的原则，根据谈判文件规定的评审程序、评审方法和评审标准进行独立评审；</w:t>
      </w:r>
    </w:p>
    <w:p w14:paraId="525E6562">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.3不得泄露评审文件、评审情况和在评审过程中获悉的商业秘密；</w:t>
      </w:r>
    </w:p>
    <w:p w14:paraId="76CC3871">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.4及时向现场监督人员报告评审过程中发现的采购人向评审专家做倾向性、误导性的解释或者说明，以及供应商行贿、提供虚假材料或者串通等违法行为；</w:t>
      </w:r>
    </w:p>
    <w:p w14:paraId="26E98E92">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.5发现谈判文件内容违反国家有关强制性规定或者谈判文件存在歧义、重大缺陷导致评审工作无法进行时，停止评审并向采购人书面说明情况；</w:t>
      </w:r>
    </w:p>
    <w:p w14:paraId="770F6BE3">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.6及时向现场监督人员举报在评审过程中受到非法干预的情况；</w:t>
      </w:r>
    </w:p>
    <w:p w14:paraId="561E6A7D">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.7配合答复处理供应商的询问、质疑和投诉等事项；</w:t>
      </w:r>
    </w:p>
    <w:p w14:paraId="47C3E713">
      <w:pPr>
        <w:pStyle w:val="28"/>
        <w:tabs>
          <w:tab w:val="left" w:pos="7665"/>
        </w:tabs>
        <w:spacing w:line="360" w:lineRule="auto"/>
        <w:ind w:firstLine="48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.8法律、法规和规章规定的其他义务。</w:t>
      </w:r>
    </w:p>
    <w:p w14:paraId="08743F2B">
      <w:pPr>
        <w:tabs>
          <w:tab w:val="left" w:pos="7665"/>
        </w:tabs>
        <w:spacing w:line="360" w:lineRule="auto"/>
        <w:ind w:firstLine="482" w:firstLineChars="200"/>
        <w:rPr>
          <w:rFonts w:ascii="仿宋_GB2312" w:hAnsi="仿宋_GB2312" w:eastAsia="仿宋_GB2312" w:cs="仿宋"/>
          <w:b/>
          <w:bCs/>
        </w:rPr>
      </w:pPr>
      <w:r>
        <w:rPr>
          <w:rFonts w:hint="eastAsia" w:ascii="仿宋_GB2312" w:hAnsi="仿宋_GB2312" w:eastAsia="仿宋_GB2312" w:cs="仿宋"/>
          <w:b/>
          <w:bCs/>
        </w:rPr>
        <w:t>1</w:t>
      </w:r>
      <w:r>
        <w:rPr>
          <w:rFonts w:ascii="仿宋_GB2312" w:hAnsi="仿宋_GB2312" w:eastAsia="仿宋_GB2312" w:cs="仿宋"/>
          <w:b/>
          <w:bCs/>
        </w:rPr>
        <w:t>5.</w:t>
      </w:r>
      <w:r>
        <w:rPr>
          <w:rFonts w:hint="eastAsia" w:ascii="仿宋_GB2312" w:hAnsi="仿宋_GB2312" w:eastAsia="仿宋_GB2312" w:cs="仿宋"/>
          <w:b/>
          <w:bCs/>
        </w:rPr>
        <w:t>谈判小组在政府采购活动中应当遵守以下工作纪律：</w:t>
      </w:r>
    </w:p>
    <w:p w14:paraId="272C6C50">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.1不得参加与自己有《中华人民共和国政府采购法实施条例》第九条规定的利害关系的采购项目的评审活动。发现参加了与自己有利害关系的评审活动，须主动提出回避，退出评审；</w:t>
      </w:r>
    </w:p>
    <w:p w14:paraId="1808E4CE">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.2评审前，应当将通讯工具或者相关电子设备交由采购人统一保管；</w:t>
      </w:r>
    </w:p>
    <w:p w14:paraId="7AED59BC">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.3评审过程中，不得与外界联系，因发生不可预见情况，确实需要与外界联系的，应当在监督人员监督之下办理；</w:t>
      </w:r>
    </w:p>
    <w:p w14:paraId="7A958D74">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72B53A30">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.5在评审过程中和评审结束后，不得记录、复制或带走任何评审资料，不得向外界透露评审内容；</w:t>
      </w:r>
    </w:p>
    <w:p w14:paraId="719B4DDA">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.6评审现场服从采购人工作人员的管理，接受现场监督人员的合法监督；</w:t>
      </w:r>
    </w:p>
    <w:p w14:paraId="48C7FA60">
      <w:pPr>
        <w:tabs>
          <w:tab w:val="left" w:pos="7665"/>
        </w:tabs>
        <w:spacing w:line="360" w:lineRule="auto"/>
        <w:ind w:firstLine="480" w:firstLineChars="20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.7遵守有关廉洁自律规定，不得私下接触供应商，不得收受供应商及有关业务单位和个人的财物或好处，不得接受采购人的请托。</w:t>
      </w:r>
      <w:bookmarkEnd w:id="58"/>
      <w:bookmarkEnd w:id="59"/>
      <w:bookmarkEnd w:id="60"/>
    </w:p>
    <w:bookmarkEnd w:id="30"/>
    <w:p w14:paraId="1F2FA5D3">
      <w:pPr>
        <w:pStyle w:val="4"/>
        <w:tabs>
          <w:tab w:val="left" w:pos="709"/>
        </w:tabs>
        <w:jc w:val="center"/>
      </w:pPr>
    </w:p>
    <w:p w14:paraId="0FF09237"/>
    <w:p w14:paraId="79D1145F">
      <w:pPr>
        <w:pStyle w:val="6"/>
      </w:pPr>
    </w:p>
    <w:p w14:paraId="39EED018"/>
    <w:p w14:paraId="01D1B1B5">
      <w:pPr>
        <w:pStyle w:val="6"/>
      </w:pPr>
    </w:p>
    <w:p w14:paraId="11EDD430"/>
    <w:p w14:paraId="6586A9D1">
      <w:pPr>
        <w:pStyle w:val="6"/>
      </w:pPr>
    </w:p>
    <w:p w14:paraId="37DC68DC"/>
    <w:p w14:paraId="3542EA0A">
      <w:pPr>
        <w:pStyle w:val="6"/>
      </w:pPr>
    </w:p>
    <w:p w14:paraId="45302F99">
      <w:pPr>
        <w:pStyle w:val="18"/>
        <w:jc w:val="center"/>
        <w:rPr>
          <w:rFonts w:hint="eastAsia" w:ascii="仿宋_GB2312" w:hAnsi="仿宋_GB2312" w:eastAsia="仿宋_GB2312" w:cs="Times New Roman"/>
          <w:color w:val="auto"/>
          <w:highlight w:val="none"/>
          <w:lang w:eastAsia="zh-CN"/>
        </w:rPr>
      </w:pPr>
      <w:bookmarkStart w:id="71" w:name="_Toc256000143"/>
      <w:r>
        <w:rPr>
          <w:rFonts w:hint="eastAsia" w:ascii="仿宋_GB2312" w:hAnsi="仿宋_GB2312" w:eastAsia="仿宋_GB2312" w:cs="仿宋"/>
          <w:color w:val="auto"/>
          <w:highlight w:val="none"/>
        </w:rPr>
        <w:t>第</w:t>
      </w:r>
      <w:r>
        <w:rPr>
          <w:rFonts w:hint="eastAsia" w:ascii="仿宋_GB2312" w:hAnsi="仿宋_GB2312" w:eastAsia="仿宋_GB2312" w:cs="仿宋"/>
          <w:color w:val="auto"/>
          <w:highlight w:val="none"/>
          <w:lang w:eastAsia="zh-CN"/>
        </w:rPr>
        <w:t>七</w:t>
      </w:r>
      <w:r>
        <w:rPr>
          <w:rFonts w:hint="eastAsia" w:ascii="仿宋_GB2312" w:hAnsi="仿宋_GB2312" w:eastAsia="仿宋_GB2312" w:cs="仿宋"/>
          <w:color w:val="auto"/>
          <w:highlight w:val="none"/>
        </w:rPr>
        <w:t>章</w:t>
      </w:r>
      <w:r>
        <w:rPr>
          <w:rFonts w:ascii="仿宋_GB2312" w:hAnsi="仿宋_GB2312" w:eastAsia="仿宋_GB2312" w:cs="仿宋"/>
          <w:color w:val="auto"/>
          <w:highlight w:val="none"/>
        </w:rPr>
        <w:t xml:space="preserve"> </w:t>
      </w:r>
      <w:r>
        <w:rPr>
          <w:rFonts w:hint="eastAsia" w:ascii="仿宋_GB2312" w:hAnsi="仿宋_GB2312" w:eastAsia="仿宋_GB2312" w:cs="仿宋"/>
          <w:color w:val="auto"/>
          <w:highlight w:val="none"/>
          <w:lang w:eastAsia="zh-CN"/>
        </w:rPr>
        <w:t>合同主要条款</w:t>
      </w:r>
    </w:p>
    <w:bookmarkEnd w:id="71"/>
    <w:p w14:paraId="6C6E296B">
      <w:pPr>
        <w:rPr>
          <w:rFonts w:hint="eastAsia"/>
          <w:color w:val="auto"/>
          <w:highlight w:val="none"/>
        </w:rPr>
      </w:pPr>
    </w:p>
    <w:p w14:paraId="6C8D5507">
      <w:pPr>
        <w:pStyle w:val="35"/>
        <w:spacing w:line="440" w:lineRule="exact"/>
        <w:rPr>
          <w:rFonts w:eastAsia="楷体"/>
          <w:b/>
          <w:color w:val="auto"/>
          <w:spacing w:val="20"/>
          <w:sz w:val="36"/>
          <w:szCs w:val="36"/>
          <w:highlight w:val="none"/>
        </w:rPr>
      </w:pPr>
      <w:r>
        <w:rPr>
          <w:rFonts w:hint="eastAsia" w:ascii="仿宋_GB2312" w:hAnsi="仿宋_GB2312" w:eastAsia="仿宋_GB2312" w:cs="仿宋"/>
          <w:color w:val="auto"/>
          <w:kern w:val="0"/>
          <w:sz w:val="24"/>
          <w:szCs w:val="24"/>
          <w:highlight w:val="none"/>
          <w:lang w:val="en-US" w:eastAsia="zh-CN" w:bidi="ar-SA"/>
        </w:rPr>
        <w:t xml:space="preserve">                  </w:t>
      </w:r>
      <w:r>
        <w:rPr>
          <w:rFonts w:hint="eastAsia" w:eastAsia="楷体"/>
          <w:b/>
          <w:color w:val="auto"/>
          <w:spacing w:val="20"/>
          <w:sz w:val="36"/>
          <w:szCs w:val="36"/>
          <w:highlight w:val="none"/>
        </w:rPr>
        <w:t>专项法律服务合同</w:t>
      </w:r>
    </w:p>
    <w:p w14:paraId="59F6A490">
      <w:pPr>
        <w:overflowPunct w:val="0"/>
        <w:spacing w:after="624" w:afterLines="200" w:line="440" w:lineRule="exact"/>
        <w:ind w:firstLine="480" w:firstLineChars="200"/>
        <w:jc w:val="right"/>
        <w:rPr>
          <w:rFonts w:ascii="Times New Roman" w:hAnsi="Times New Roman" w:eastAsia="楷体"/>
          <w:color w:val="auto"/>
          <w:highlight w:val="none"/>
        </w:rPr>
      </w:pPr>
      <w:r>
        <w:rPr>
          <w:rFonts w:hint="eastAsia" w:ascii="Times New Roman" w:hAnsi="Times New Roman" w:eastAsia="楷体"/>
          <w:color w:val="auto"/>
          <w:highlight w:val="none"/>
        </w:rPr>
        <w:t>（2</w:t>
      </w:r>
      <w:r>
        <w:rPr>
          <w:rFonts w:ascii="Times New Roman" w:hAnsi="Times New Roman" w:eastAsia="楷体"/>
          <w:color w:val="auto"/>
          <w:highlight w:val="none"/>
        </w:rPr>
        <w:t>02</w:t>
      </w:r>
      <w:r>
        <w:rPr>
          <w:rFonts w:hint="eastAsia" w:ascii="Times New Roman" w:hAnsi="Times New Roman" w:eastAsia="楷体"/>
          <w:color w:val="auto"/>
          <w:highlight w:val="none"/>
        </w:rPr>
        <w:t>4）字第</w:t>
      </w:r>
      <w:r>
        <w:rPr>
          <w:rFonts w:ascii="Times New Roman" w:hAnsi="Times New Roman" w:eastAsia="楷体"/>
          <w:color w:val="auto"/>
          <w:highlight w:val="none"/>
        </w:rPr>
        <w:t xml:space="preserve">   </w:t>
      </w:r>
      <w:r>
        <w:rPr>
          <w:rFonts w:hint="eastAsia" w:ascii="Times New Roman" w:hAnsi="Times New Roman" w:eastAsia="楷体"/>
          <w:color w:val="auto"/>
          <w:highlight w:val="none"/>
        </w:rPr>
        <w:t>号</w:t>
      </w:r>
    </w:p>
    <w:p w14:paraId="0E85D194">
      <w:pPr>
        <w:overflowPunct w:val="0"/>
        <w:spacing w:line="440" w:lineRule="exact"/>
        <w:ind w:firstLine="480" w:firstLineChars="200"/>
        <w:rPr>
          <w:rFonts w:hint="eastAsia" w:ascii="仿宋_GB2312" w:hAnsi="仿宋_GB2312" w:eastAsia="仿宋_GB2312" w:cs="仿宋"/>
          <w:color w:val="auto"/>
          <w:kern w:val="0"/>
          <w:sz w:val="24"/>
          <w:szCs w:val="24"/>
          <w:highlight w:val="none"/>
          <w:u w:val="single"/>
          <w:lang w:val="en-US" w:eastAsia="zh-CN" w:bidi="ar-SA"/>
        </w:rPr>
      </w:pPr>
      <w:r>
        <w:rPr>
          <w:rFonts w:hint="eastAsia" w:ascii="仿宋_GB2312" w:hAnsi="仿宋_GB2312" w:eastAsia="仿宋_GB2312" w:cs="仿宋"/>
          <w:color w:val="auto"/>
          <w:kern w:val="0"/>
          <w:sz w:val="24"/>
          <w:szCs w:val="24"/>
          <w:highlight w:val="none"/>
          <w:lang w:val="en-US" w:eastAsia="zh-CN" w:bidi="ar-SA"/>
        </w:rPr>
        <w:t>甲方：</w:t>
      </w:r>
      <w:r>
        <w:rPr>
          <w:rFonts w:hint="eastAsia" w:ascii="仿宋_GB2312" w:hAnsi="仿宋_GB2312" w:eastAsia="仿宋_GB2312" w:cs="仿宋"/>
          <w:color w:val="auto"/>
          <w:kern w:val="0"/>
          <w:sz w:val="24"/>
          <w:szCs w:val="24"/>
          <w:highlight w:val="none"/>
          <w:u w:val="single"/>
          <w:lang w:val="en-US" w:eastAsia="zh-CN" w:bidi="ar-SA"/>
        </w:rPr>
        <w:t>巴中市秦巴田园农业发展有限公司</w:t>
      </w:r>
    </w:p>
    <w:p w14:paraId="3D74B3B6">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统一社会信用代码：</w:t>
      </w:r>
      <w:r>
        <w:rPr>
          <w:rFonts w:hint="eastAsia" w:ascii="仿宋_GB2312" w:hAnsi="仿宋_GB2312" w:eastAsia="仿宋_GB2312" w:cs="仿宋"/>
          <w:color w:val="auto"/>
          <w:kern w:val="0"/>
          <w:sz w:val="24"/>
          <w:szCs w:val="24"/>
          <w:highlight w:val="none"/>
          <w:u w:val="single"/>
          <w:lang w:val="en-US" w:eastAsia="zh-CN" w:bidi="ar-SA"/>
        </w:rPr>
        <w:t>91511900MA64D79GXB</w:t>
      </w:r>
    </w:p>
    <w:p w14:paraId="18D8D999">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法定代表人：</w:t>
      </w:r>
      <w:r>
        <w:rPr>
          <w:rFonts w:hint="eastAsia" w:ascii="仿宋_GB2312" w:hAnsi="仿宋_GB2312" w:eastAsia="仿宋_GB2312" w:cs="仿宋"/>
          <w:color w:val="auto"/>
          <w:kern w:val="0"/>
          <w:sz w:val="24"/>
          <w:szCs w:val="24"/>
          <w:highlight w:val="none"/>
          <w:u w:val="single"/>
          <w:lang w:val="en-US" w:eastAsia="zh-CN" w:bidi="ar-SA"/>
        </w:rPr>
        <w:t>李晓红</w:t>
      </w:r>
    </w:p>
    <w:p w14:paraId="6A031089">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地址：</w:t>
      </w:r>
      <w:r>
        <w:rPr>
          <w:rFonts w:hint="eastAsia" w:ascii="仿宋_GB2312" w:hAnsi="仿宋_GB2312" w:eastAsia="仿宋_GB2312" w:cs="仿宋"/>
          <w:color w:val="auto"/>
          <w:kern w:val="0"/>
          <w:sz w:val="24"/>
          <w:szCs w:val="24"/>
          <w:highlight w:val="none"/>
          <w:u w:val="single"/>
          <w:lang w:val="en-US" w:eastAsia="zh-CN" w:bidi="ar-SA"/>
        </w:rPr>
        <w:t>四川省巴中市经济开发区创业路4号3层</w:t>
      </w:r>
    </w:p>
    <w:p w14:paraId="344FC222">
      <w:pPr>
        <w:overflowPunct w:val="0"/>
        <w:spacing w:before="312" w:beforeLines="100"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 xml:space="preserve">乙方： </w:t>
      </w:r>
      <w:r>
        <w:rPr>
          <w:rFonts w:hint="eastAsia" w:ascii="仿宋_GB2312" w:hAnsi="仿宋_GB2312" w:eastAsia="仿宋_GB2312" w:cs="仿宋"/>
          <w:color w:val="auto"/>
          <w:kern w:val="0"/>
          <w:sz w:val="24"/>
          <w:szCs w:val="24"/>
          <w:highlight w:val="none"/>
          <w:u w:val="single"/>
          <w:lang w:val="en-US" w:eastAsia="zh-CN" w:bidi="ar-SA"/>
        </w:rPr>
        <w:t xml:space="preserve">                           </w:t>
      </w:r>
      <w:r>
        <w:rPr>
          <w:rFonts w:hint="eastAsia" w:ascii="仿宋_GB2312" w:hAnsi="仿宋_GB2312" w:eastAsia="仿宋_GB2312" w:cs="仿宋"/>
          <w:color w:val="auto"/>
          <w:kern w:val="0"/>
          <w:sz w:val="24"/>
          <w:szCs w:val="24"/>
          <w:highlight w:val="none"/>
          <w:lang w:val="en-US" w:eastAsia="zh-CN" w:bidi="ar-SA"/>
        </w:rPr>
        <w:t xml:space="preserve"> </w:t>
      </w:r>
    </w:p>
    <w:p w14:paraId="304D8F4B">
      <w:pPr>
        <w:overflowPunct w:val="0"/>
        <w:spacing w:line="440" w:lineRule="exact"/>
        <w:ind w:firstLine="480" w:firstLineChars="200"/>
        <w:rPr>
          <w:rFonts w:hint="default"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法定代表人：</w:t>
      </w:r>
      <w:r>
        <w:rPr>
          <w:rFonts w:hint="eastAsia" w:ascii="仿宋_GB2312" w:hAnsi="仿宋_GB2312" w:eastAsia="仿宋_GB2312" w:cs="仿宋"/>
          <w:color w:val="auto"/>
          <w:kern w:val="0"/>
          <w:sz w:val="24"/>
          <w:szCs w:val="24"/>
          <w:highlight w:val="none"/>
          <w:u w:val="single"/>
          <w:lang w:val="en-US" w:eastAsia="zh-CN" w:bidi="ar-SA"/>
        </w:rPr>
        <w:t xml:space="preserve">        </w:t>
      </w:r>
    </w:p>
    <w:p w14:paraId="3745197F">
      <w:pPr>
        <w:overflowPunct w:val="0"/>
        <w:spacing w:line="440" w:lineRule="exact"/>
        <w:ind w:firstLine="480" w:firstLineChars="200"/>
        <w:rPr>
          <w:rFonts w:hint="default" w:ascii="仿宋_GB2312" w:hAnsi="仿宋_GB2312" w:eastAsia="仿宋_GB2312" w:cs="仿宋"/>
          <w:color w:val="auto"/>
          <w:kern w:val="0"/>
          <w:sz w:val="24"/>
          <w:szCs w:val="24"/>
          <w:highlight w:val="none"/>
          <w:u w:val="single"/>
          <w:lang w:val="en-US" w:eastAsia="zh-CN" w:bidi="ar-SA"/>
        </w:rPr>
      </w:pPr>
      <w:r>
        <w:rPr>
          <w:rFonts w:hint="eastAsia" w:ascii="仿宋_GB2312" w:hAnsi="仿宋_GB2312" w:eastAsia="仿宋_GB2312" w:cs="仿宋"/>
          <w:color w:val="auto"/>
          <w:kern w:val="0"/>
          <w:sz w:val="24"/>
          <w:szCs w:val="24"/>
          <w:highlight w:val="none"/>
          <w:lang w:val="en-US" w:eastAsia="zh-CN" w:bidi="ar-SA"/>
        </w:rPr>
        <w:t>地址：</w:t>
      </w:r>
      <w:r>
        <w:rPr>
          <w:rFonts w:hint="eastAsia" w:ascii="仿宋_GB2312" w:hAnsi="仿宋_GB2312" w:eastAsia="仿宋_GB2312" w:cs="仿宋"/>
          <w:color w:val="auto"/>
          <w:kern w:val="0"/>
          <w:sz w:val="24"/>
          <w:szCs w:val="24"/>
          <w:highlight w:val="none"/>
          <w:u w:val="single"/>
          <w:lang w:val="en-US" w:eastAsia="zh-CN" w:bidi="ar-SA"/>
        </w:rPr>
        <w:t xml:space="preserve">                                    </w:t>
      </w:r>
    </w:p>
    <w:p w14:paraId="13186ABC">
      <w:pPr>
        <w:overflowPunct w:val="0"/>
        <w:spacing w:line="440" w:lineRule="exact"/>
        <w:ind w:firstLine="480" w:firstLineChars="200"/>
        <w:rPr>
          <w:rFonts w:hint="default"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电话：</w:t>
      </w:r>
      <w:r>
        <w:rPr>
          <w:rFonts w:hint="eastAsia" w:ascii="仿宋_GB2312" w:hAnsi="仿宋_GB2312" w:eastAsia="仿宋_GB2312" w:cs="仿宋"/>
          <w:color w:val="auto"/>
          <w:kern w:val="0"/>
          <w:sz w:val="24"/>
          <w:szCs w:val="24"/>
          <w:highlight w:val="none"/>
          <w:u w:val="single"/>
          <w:lang w:val="en-US" w:eastAsia="zh-CN" w:bidi="ar-SA"/>
        </w:rPr>
        <w:t xml:space="preserve">              </w:t>
      </w:r>
    </w:p>
    <w:p w14:paraId="3B17D9A1">
      <w:pPr>
        <w:overflowPunct w:val="0"/>
        <w:spacing w:before="312" w:beforeLines="100"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甲、乙双方经友好协商，就伟澈（重庆）商贸有限公司诉巴中市秦巴田园农业发展有限公司买卖合同纠纷及巴中市秦巴田园农业发展有限公司贸易业务疑似涉嫌被诈骗系列案件（以下简称“本项目”）中有关法律服务事宜，达成协议如下：</w:t>
      </w:r>
    </w:p>
    <w:p w14:paraId="4199F65A">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第一条  接受委托</w:t>
      </w:r>
    </w:p>
    <w:p w14:paraId="31E6400F">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乙方接受甲方委托，指派</w:t>
      </w:r>
      <w:r>
        <w:rPr>
          <w:rFonts w:hint="eastAsia" w:ascii="仿宋_GB2312" w:hAnsi="仿宋_GB2312" w:eastAsia="仿宋_GB2312" w:cs="仿宋"/>
          <w:color w:val="auto"/>
          <w:kern w:val="0"/>
          <w:sz w:val="24"/>
          <w:szCs w:val="24"/>
          <w:highlight w:val="none"/>
          <w:u w:val="single"/>
          <w:lang w:val="en-US" w:eastAsia="zh-CN" w:bidi="ar-SA"/>
        </w:rPr>
        <w:t xml:space="preserve">       </w:t>
      </w:r>
      <w:r>
        <w:rPr>
          <w:rFonts w:hint="eastAsia" w:ascii="仿宋_GB2312" w:hAnsi="仿宋_GB2312" w:eastAsia="仿宋_GB2312" w:cs="仿宋"/>
          <w:color w:val="auto"/>
          <w:kern w:val="0"/>
          <w:sz w:val="24"/>
          <w:szCs w:val="24"/>
          <w:highlight w:val="none"/>
          <w:lang w:val="en-US" w:eastAsia="zh-CN" w:bidi="ar-SA"/>
        </w:rPr>
        <w:t>律师及其团队人员为本项目提供法律服务。</w:t>
      </w:r>
    </w:p>
    <w:p w14:paraId="4ACD98D6">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根据项目的需要，乙方可增加或安排乙方其他律师协助提供与项目相关的法律服务。乙方指派的律师因发生交通事故、疾病、不可抗力及其他特殊情况下，乙方可指派其他律师继续办理。</w:t>
      </w:r>
    </w:p>
    <w:p w14:paraId="72857D7C">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第二条  委托事项（此项可根据具体情况调整）</w:t>
      </w:r>
    </w:p>
    <w:p w14:paraId="5392CE88">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双方约定，乙方为项目提供的法律服务范围包括：</w:t>
      </w:r>
    </w:p>
    <w:p w14:paraId="1D630AFA">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 为项目中涉及的相关法律问题提供咨询意见；</w:t>
      </w:r>
    </w:p>
    <w:p w14:paraId="30BA0585">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 为项目中涉及的案件提供代理服务；</w:t>
      </w:r>
    </w:p>
    <w:p w14:paraId="7FF7FB9D">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3. 参与与项目相关的讨论和谈判；</w:t>
      </w:r>
    </w:p>
    <w:p w14:paraId="63CF3097">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4. 草拟、审查、修改有关项目的的协议等有关文件；</w:t>
      </w:r>
    </w:p>
    <w:p w14:paraId="6959A694">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5. 协助甲方制定与项目相关的办理方案；</w:t>
      </w:r>
    </w:p>
    <w:p w14:paraId="7AD1E8FB">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6. 协助甲方与有关地方政府主管部门沟通、协调；</w:t>
      </w:r>
    </w:p>
    <w:p w14:paraId="2C53D664">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7. 协助甲方拟定项目相关的材料并提供专业意见；</w:t>
      </w:r>
    </w:p>
    <w:p w14:paraId="72A658C7">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8. 办理甲方委托的有关项目的其他事项，维护甲方的合法权益。</w:t>
      </w:r>
    </w:p>
    <w:p w14:paraId="6A1E07E1">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第三条  乙方义务</w:t>
      </w:r>
    </w:p>
    <w:p w14:paraId="1D28314F">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 乙方律师应当在取得甲方委托和收到甲方提供的文件资料后，及时完成委托事项，并应甲方要求通报工作进程；</w:t>
      </w:r>
    </w:p>
    <w:p w14:paraId="762D0427">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 乙方律师未经甲方同意，不得担任与甲方具有法律利益冲突的另一方的法律顾问或者代理人；</w:t>
      </w:r>
    </w:p>
    <w:p w14:paraId="02C4EFB3">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3. 乙方律师应对其提供的法律意见的合法性承担法律责任；</w:t>
      </w:r>
    </w:p>
    <w:p w14:paraId="75CC4EDB">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4. 乙方律师对其获知的甲方商业秘密负有保密责任，非由法律规定或者甲方同意，不得向任何第三方披露；</w:t>
      </w:r>
    </w:p>
    <w:p w14:paraId="4D3D5BF1">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第四条  甲方义务</w:t>
      </w:r>
    </w:p>
    <w:p w14:paraId="52BAF4BE">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 甲方应当全面、客观和及时地向乙方提供与项目有关的全部文件和背景</w:t>
      </w:r>
    </w:p>
    <w:p w14:paraId="5E0A80B1">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 甲方应当积极、主动地配合乙方律师为甲方的利益所从事的各项工作，根据实际需要为乙方提供办公、交通、住宿等工作便利；</w:t>
      </w:r>
    </w:p>
    <w:p w14:paraId="4EE28FFD">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3. 按本协议第五条的约定向乙方支付律师费。因不可归责于乙方的事由，合同解除或者委托事务不能完成的，甲方应当向乙方支付相应的报酬。</w:t>
      </w:r>
    </w:p>
    <w:p w14:paraId="2B14E5E5">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4. 甲方指定为与乙方律师联系的联系人，负责转达甲方的指示和要求，提供证据材料、案件事实等。甲方更换联系人应当书面通知乙方律师；</w:t>
      </w:r>
    </w:p>
    <w:p w14:paraId="6808C7BA">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5. 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14:paraId="6E9801D1">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6. 甲方有责任对委托代理事务做出独立的判断和决策，乙方尊重甲方对委托代理事务做出的独立判断和决策。甲方非根据乙方律师提供的法律意见、建议、方案所做出的决定而造成的损失，由甲方承担。</w:t>
      </w:r>
    </w:p>
    <w:p w14:paraId="7F885571">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7. 甲方不得要求乙方律师为其提供违反法律，法规和社会公德以及其它损害社会公共利益或他人合法权益的服务。</w:t>
      </w:r>
    </w:p>
    <w:p w14:paraId="0129FBA7">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第五条  法律服务费</w:t>
      </w:r>
    </w:p>
    <w:p w14:paraId="4B74AFC3">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经双方友好协商，就甲方应向乙方支付的律师费达成如下协议：</w:t>
      </w:r>
    </w:p>
    <w:p w14:paraId="0BC4026C">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 乙方收取律师费，已充分考虑了以下因素：</w:t>
      </w:r>
    </w:p>
    <w:p w14:paraId="57875890">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（1）耗费的工作时间；</w:t>
      </w:r>
    </w:p>
    <w:p w14:paraId="3D647BBC">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（2）法律事务的难易程度；</w:t>
      </w:r>
    </w:p>
    <w:p w14:paraId="223CA010">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（3）委托人的承受能力；</w:t>
      </w:r>
    </w:p>
    <w:p w14:paraId="759CC05A">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（4）律师可能承担的风险和责任；</w:t>
      </w:r>
    </w:p>
    <w:p w14:paraId="22F1DFE2">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（5）律师的社会信誉和工作水平。</w:t>
      </w:r>
    </w:p>
    <w:p w14:paraId="6AB34DB3">
      <w:pPr>
        <w:spacing w:line="360" w:lineRule="auto"/>
        <w:ind w:firstLine="480"/>
        <w:jc w:val="both"/>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 甲、乙双方约定，就乙方提供的本协议第二条所列的服务，甲方应向乙方支付法律服务费为：法律顾问费为</w:t>
      </w:r>
      <w:r>
        <w:rPr>
          <w:rFonts w:hint="eastAsia" w:ascii="仿宋_GB2312" w:hAnsi="仿宋_GB2312" w:eastAsia="仿宋_GB2312" w:cs="仿宋"/>
          <w:color w:val="auto"/>
          <w:kern w:val="0"/>
          <w:sz w:val="24"/>
          <w:szCs w:val="24"/>
          <w:highlight w:val="none"/>
          <w:u w:val="single"/>
          <w:lang w:val="en-US" w:eastAsia="zh-CN" w:bidi="ar-SA"/>
        </w:rPr>
        <w:t xml:space="preserve">           </w:t>
      </w:r>
      <w:r>
        <w:rPr>
          <w:rFonts w:hint="eastAsia" w:ascii="仿宋_GB2312" w:hAnsi="仿宋_GB2312" w:eastAsia="仿宋_GB2312" w:cs="仿宋"/>
          <w:color w:val="auto"/>
          <w:kern w:val="0"/>
          <w:sz w:val="24"/>
          <w:szCs w:val="24"/>
          <w:highlight w:val="none"/>
          <w:lang w:val="en-US" w:eastAsia="zh-CN" w:bidi="ar-SA"/>
        </w:rPr>
        <w:t>元（含诉讼案件代理费</w:t>
      </w:r>
      <w:r>
        <w:rPr>
          <w:rFonts w:hint="default" w:ascii="仿宋_GB2312" w:hAnsi="仿宋_GB2312" w:eastAsia="仿宋_GB2312" w:cs="仿宋"/>
          <w:color w:val="auto"/>
          <w:kern w:val="0"/>
          <w:sz w:val="24"/>
          <w:szCs w:val="24"/>
          <w:highlight w:val="none"/>
          <w:lang w:val="en-US" w:eastAsia="zh-CN" w:bidi="ar-SA"/>
        </w:rPr>
        <w:t>，凡属本案衍生的诉讼（即因本案涉及的纠纷而产生的诉讼）</w:t>
      </w:r>
      <w:r>
        <w:rPr>
          <w:rFonts w:hint="eastAsia" w:ascii="仿宋_GB2312" w:hAnsi="仿宋_GB2312" w:eastAsia="仿宋_GB2312" w:cs="仿宋"/>
          <w:color w:val="auto"/>
          <w:kern w:val="0"/>
          <w:sz w:val="24"/>
          <w:szCs w:val="24"/>
          <w:highlight w:val="none"/>
          <w:lang w:val="en-US" w:eastAsia="zh-CN" w:bidi="ar-SA"/>
        </w:rPr>
        <w:t>，包括但不限于诉讼期间(包括一切诉讼活动)诉讼费、仲裁费、鉴定费、检验费、评估费、公证费、查档费、差旅费等各项费用</w:t>
      </w:r>
      <w:r>
        <w:rPr>
          <w:rFonts w:hint="default" w:ascii="仿宋_GB2312" w:hAnsi="仿宋_GB2312" w:eastAsia="仿宋_GB2312" w:cs="仿宋"/>
          <w:color w:val="auto"/>
          <w:kern w:val="0"/>
          <w:sz w:val="24"/>
          <w:szCs w:val="24"/>
          <w:highlight w:val="none"/>
          <w:lang w:val="en-US" w:eastAsia="zh-CN" w:bidi="ar-SA"/>
        </w:rPr>
        <w:t>，律师不再另行收取律师费）。</w:t>
      </w:r>
    </w:p>
    <w:p w14:paraId="159F9911">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支付方式：转账。</w:t>
      </w:r>
    </w:p>
    <w:p w14:paraId="45515825">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支付时间：本协议签订后10个工作日内支付</w:t>
      </w:r>
      <w:r>
        <w:rPr>
          <w:rFonts w:hint="eastAsia" w:ascii="仿宋_GB2312" w:hAnsi="仿宋_GB2312" w:eastAsia="仿宋_GB2312" w:cs="仿宋"/>
          <w:color w:val="auto"/>
          <w:kern w:val="0"/>
          <w:sz w:val="24"/>
          <w:szCs w:val="24"/>
          <w:highlight w:val="none"/>
          <w:u w:val="single"/>
          <w:lang w:val="en-US" w:eastAsia="zh-CN" w:bidi="ar-SA"/>
        </w:rPr>
        <w:t xml:space="preserve">          </w:t>
      </w:r>
      <w:r>
        <w:rPr>
          <w:rFonts w:hint="eastAsia" w:ascii="仿宋_GB2312" w:hAnsi="仿宋_GB2312" w:eastAsia="仿宋_GB2312" w:cs="仿宋"/>
          <w:color w:val="auto"/>
          <w:kern w:val="0"/>
          <w:sz w:val="24"/>
          <w:szCs w:val="24"/>
          <w:highlight w:val="none"/>
          <w:lang w:val="en-US" w:eastAsia="zh-CN" w:bidi="ar-SA"/>
        </w:rPr>
        <w:t>元，在专项事务处理完毕后10个工作日内支付下余服务费。</w:t>
      </w:r>
    </w:p>
    <w:p w14:paraId="733B9412">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甲方将上述法律服务费支付至如下帐户，且乙方应出具正式发票：</w:t>
      </w:r>
    </w:p>
    <w:p w14:paraId="767CB493">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乙方收款信息：</w:t>
      </w:r>
    </w:p>
    <w:p w14:paraId="5D47F757">
      <w:pPr>
        <w:overflowPunct w:val="0"/>
        <w:spacing w:line="440" w:lineRule="exact"/>
        <w:ind w:firstLine="480" w:firstLineChars="200"/>
        <w:rPr>
          <w:rFonts w:hint="default"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收   款   人：</w:t>
      </w:r>
      <w:r>
        <w:rPr>
          <w:rFonts w:hint="eastAsia" w:ascii="仿宋_GB2312" w:hAnsi="仿宋_GB2312" w:eastAsia="仿宋_GB2312" w:cs="仿宋"/>
          <w:color w:val="auto"/>
          <w:kern w:val="0"/>
          <w:sz w:val="24"/>
          <w:szCs w:val="24"/>
          <w:highlight w:val="none"/>
          <w:u w:val="single"/>
          <w:lang w:val="en-US" w:eastAsia="zh-CN" w:bidi="ar-SA"/>
        </w:rPr>
        <w:t xml:space="preserve">                             </w:t>
      </w:r>
    </w:p>
    <w:p w14:paraId="056E12DB">
      <w:pPr>
        <w:overflowPunct w:val="0"/>
        <w:spacing w:line="440" w:lineRule="exact"/>
        <w:ind w:firstLine="480" w:firstLineChars="200"/>
        <w:rPr>
          <w:rFonts w:hint="default"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开户银行名称：</w:t>
      </w:r>
      <w:r>
        <w:rPr>
          <w:rFonts w:hint="eastAsia" w:ascii="仿宋_GB2312" w:hAnsi="仿宋_GB2312" w:eastAsia="仿宋_GB2312" w:cs="仿宋"/>
          <w:color w:val="auto"/>
          <w:kern w:val="0"/>
          <w:sz w:val="24"/>
          <w:szCs w:val="24"/>
          <w:highlight w:val="none"/>
          <w:u w:val="single"/>
          <w:lang w:val="en-US" w:eastAsia="zh-CN" w:bidi="ar-SA"/>
        </w:rPr>
        <w:t xml:space="preserve">                             </w:t>
      </w:r>
    </w:p>
    <w:p w14:paraId="09A38D74">
      <w:pPr>
        <w:overflowPunct w:val="0"/>
        <w:spacing w:line="440" w:lineRule="exact"/>
        <w:ind w:firstLine="480" w:firstLineChars="200"/>
        <w:rPr>
          <w:rFonts w:hint="default"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开户银行账号：</w:t>
      </w:r>
      <w:r>
        <w:rPr>
          <w:rFonts w:hint="eastAsia" w:ascii="仿宋_GB2312" w:hAnsi="仿宋_GB2312" w:eastAsia="仿宋_GB2312" w:cs="仿宋"/>
          <w:color w:val="auto"/>
          <w:kern w:val="0"/>
          <w:sz w:val="24"/>
          <w:szCs w:val="24"/>
          <w:highlight w:val="none"/>
          <w:u w:val="single"/>
          <w:lang w:val="en-US" w:eastAsia="zh-CN" w:bidi="ar-SA"/>
        </w:rPr>
        <w:t xml:space="preserve">                   </w:t>
      </w:r>
    </w:p>
    <w:p w14:paraId="048308A0">
      <w:pPr>
        <w:overflowPunct w:val="0"/>
        <w:spacing w:line="440" w:lineRule="exact"/>
        <w:ind w:firstLine="480" w:firstLineChars="200"/>
        <w:rPr>
          <w:rFonts w:hint="eastAsia" w:ascii="仿宋_GB2312" w:hAnsi="仿宋_GB2312" w:eastAsia="仿宋_GB2312" w:cs="仿宋"/>
          <w:color w:val="auto"/>
          <w:kern w:val="0"/>
          <w:sz w:val="24"/>
          <w:szCs w:val="24"/>
          <w:highlight w:val="none"/>
          <w:u w:val="single"/>
          <w:lang w:val="en-US" w:eastAsia="zh-CN" w:bidi="ar-SA"/>
        </w:rPr>
      </w:pPr>
      <w:r>
        <w:rPr>
          <w:rFonts w:hint="eastAsia" w:ascii="仿宋_GB2312" w:hAnsi="仿宋_GB2312" w:eastAsia="仿宋_GB2312" w:cs="仿宋"/>
          <w:color w:val="auto"/>
          <w:kern w:val="0"/>
          <w:sz w:val="24"/>
          <w:szCs w:val="24"/>
          <w:highlight w:val="none"/>
          <w:lang w:val="en-US" w:eastAsia="zh-CN" w:bidi="ar-SA"/>
        </w:rPr>
        <w:t>开户银行行号：</w:t>
      </w:r>
      <w:r>
        <w:rPr>
          <w:rFonts w:hint="eastAsia" w:ascii="仿宋_GB2312" w:hAnsi="仿宋_GB2312" w:eastAsia="仿宋_GB2312" w:cs="仿宋"/>
          <w:color w:val="auto"/>
          <w:kern w:val="0"/>
          <w:sz w:val="24"/>
          <w:szCs w:val="24"/>
          <w:highlight w:val="none"/>
          <w:u w:val="single"/>
          <w:lang w:val="en-US" w:eastAsia="zh-CN" w:bidi="ar-SA"/>
        </w:rPr>
        <w:t xml:space="preserve">               </w:t>
      </w:r>
    </w:p>
    <w:p w14:paraId="745E25D8">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第六条  代收费用及差旅费</w:t>
      </w:r>
    </w:p>
    <w:p w14:paraId="6C2579C0">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 乙方为甲方提供法律服务的过程中所发生的诉讼费、仲裁费、鉴定费、检验费、评估费、公证费、查档费等由乙方自行支付</w:t>
      </w:r>
    </w:p>
    <w:p w14:paraId="671AC837">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2.乙方为甲方办理法律事务，所需要的</w:t>
      </w:r>
      <w:r>
        <w:rPr>
          <w:rFonts w:hint="default" w:ascii="仿宋_GB2312" w:hAnsi="仿宋_GB2312" w:eastAsia="仿宋_GB2312" w:cs="仿宋"/>
          <w:color w:val="auto"/>
          <w:kern w:val="0"/>
          <w:sz w:val="24"/>
          <w:szCs w:val="24"/>
          <w:highlight w:val="none"/>
          <w:lang w:val="en-US" w:eastAsia="zh-CN" w:bidi="ar-SA"/>
        </w:rPr>
        <w:t>出差</w:t>
      </w:r>
      <w:r>
        <w:rPr>
          <w:rFonts w:hint="eastAsia" w:ascii="仿宋_GB2312" w:hAnsi="仿宋_GB2312" w:eastAsia="仿宋_GB2312" w:cs="仿宋"/>
          <w:color w:val="auto"/>
          <w:kern w:val="0"/>
          <w:sz w:val="24"/>
          <w:szCs w:val="24"/>
          <w:highlight w:val="none"/>
          <w:lang w:val="en-US" w:eastAsia="zh-CN" w:bidi="ar-SA"/>
        </w:rPr>
        <w:t>差旅</w:t>
      </w:r>
      <w:r>
        <w:rPr>
          <w:rFonts w:hint="default" w:ascii="仿宋_GB2312" w:hAnsi="仿宋_GB2312" w:eastAsia="仿宋_GB2312" w:cs="仿宋"/>
          <w:color w:val="auto"/>
          <w:kern w:val="0"/>
          <w:sz w:val="24"/>
          <w:szCs w:val="24"/>
          <w:highlight w:val="none"/>
          <w:lang w:val="en-US" w:eastAsia="zh-CN" w:bidi="ar-SA"/>
        </w:rPr>
        <w:t>、食宿等</w:t>
      </w:r>
      <w:r>
        <w:rPr>
          <w:rFonts w:hint="eastAsia" w:ascii="仿宋_GB2312" w:hAnsi="仿宋_GB2312" w:eastAsia="仿宋_GB2312" w:cs="仿宋"/>
          <w:color w:val="auto"/>
          <w:kern w:val="0"/>
          <w:sz w:val="24"/>
          <w:szCs w:val="24"/>
          <w:highlight w:val="none"/>
          <w:lang w:val="en-US" w:eastAsia="zh-CN" w:bidi="ar-SA"/>
        </w:rPr>
        <w:t>费用</w:t>
      </w:r>
      <w:r>
        <w:rPr>
          <w:rFonts w:hint="default" w:ascii="仿宋_GB2312" w:hAnsi="仿宋_GB2312" w:eastAsia="仿宋_GB2312" w:cs="仿宋"/>
          <w:color w:val="auto"/>
          <w:kern w:val="0"/>
          <w:sz w:val="24"/>
          <w:szCs w:val="24"/>
          <w:highlight w:val="none"/>
          <w:lang w:val="en-US" w:eastAsia="zh-CN" w:bidi="ar-SA"/>
        </w:rPr>
        <w:t>均包含在乙方的基础代理费用中，甲方不再另行支付相关费用</w:t>
      </w:r>
      <w:r>
        <w:rPr>
          <w:rFonts w:hint="eastAsia" w:ascii="仿宋_GB2312" w:hAnsi="仿宋_GB2312" w:eastAsia="仿宋_GB2312" w:cs="仿宋"/>
          <w:color w:val="auto"/>
          <w:kern w:val="0"/>
          <w:sz w:val="24"/>
          <w:szCs w:val="24"/>
          <w:highlight w:val="none"/>
          <w:lang w:val="en-US" w:eastAsia="zh-CN" w:bidi="ar-SA"/>
        </w:rPr>
        <w:t>。</w:t>
      </w:r>
    </w:p>
    <w:p w14:paraId="792AE3C3">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第七条  协议的变更、解除</w:t>
      </w:r>
    </w:p>
    <w:p w14:paraId="2CC3CDDD">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 对本协议的任何变更，均需双方协商一致，并另行签订变更协议。</w:t>
      </w:r>
    </w:p>
    <w:p w14:paraId="219CB9F4">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 乙方有下列情形之一的，甲方有权解除本合同：</w:t>
      </w:r>
    </w:p>
    <w:p w14:paraId="6162D9BD">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（1）未经甲方同意，擅自更换代理律师的；</w:t>
      </w:r>
    </w:p>
    <w:p w14:paraId="538D962D">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（2）乙方律师工作延误、重大失职导致甲方蒙受重大损失的；</w:t>
      </w:r>
    </w:p>
    <w:p w14:paraId="7B28A99A">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3. 甲方有下列情形之一的，乙方有权解除本合同或暂停工作直至甲方纠正：</w:t>
      </w:r>
    </w:p>
    <w:p w14:paraId="05A90A6F">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（1）甲方的委托事务违反法律或者违反律师执业规范的；</w:t>
      </w:r>
    </w:p>
    <w:p w14:paraId="55AE80C3">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（2）甲方有捏造事实、伪造材料或者隐瞒重要事实情节等情形的；</w:t>
      </w:r>
    </w:p>
    <w:p w14:paraId="71971278">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第八条 违约责任</w:t>
      </w:r>
    </w:p>
    <w:p w14:paraId="5298BA25">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 乙方无正当理由不提供第一条、第二条规定的法律服务工作或者违反第三条规定义务的，甲方有权要求乙方退还部分或者全部已付的律师费。</w:t>
      </w:r>
    </w:p>
    <w:p w14:paraId="2C0CB630">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 甲方无正当理由不支付律师代理费或者事务费用，自迟延支付之日起甲方应当向乙方支付违约金为：每天按照本合同约定律师费的千分之四。乙方有权要求甲方支付未付的律师代理费、未报销的事务费用及延期支付的利息。</w:t>
      </w:r>
    </w:p>
    <w:p w14:paraId="688EA1F4">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第九条 争议的解决</w:t>
      </w:r>
    </w:p>
    <w:p w14:paraId="08A53C94">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本合同适用《中华人民共和国民法典》《中华人民共和国律师法》《中华人民共和国民事诉讼法》等法律。</w:t>
      </w:r>
    </w:p>
    <w:p w14:paraId="4AFFB7FA">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甲、乙双方如果发生争议，应当友好协商解决。如协商不成，任何一方均有权向巴中仲裁委员会提起仲裁。</w:t>
      </w:r>
    </w:p>
    <w:p w14:paraId="46DD0FBD">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第十条 通知和送达</w:t>
      </w:r>
    </w:p>
    <w:p w14:paraId="57872EA1">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甲、乙双方因履行本合同而相互发出或者提供的所有通知、文件、材料，均以本合同所列明的地址、电子邮箱、传真送达。一方迁址或者变更邮箱、传真电话的，应当书面通知对方。</w:t>
      </w:r>
    </w:p>
    <w:p w14:paraId="35EE85FF">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以当面交付文件方式送达的，交付之时视为送达；以电子邮件方式送达的，发出电子邮件时视为送达；以传真方式送达的，发出传真时视为送达；以邮寄方式送达的，邮件交邮当日视为送达。</w:t>
      </w:r>
    </w:p>
    <w:p w14:paraId="6992CE88">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第十一条 合同的生效</w:t>
      </w:r>
    </w:p>
    <w:p w14:paraId="5F47F90E">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本合同自甲、乙双方代表人签字或加盖公章起生效，自乙方律师完成本合同的委托事务或解除本合同时终止。本合同一式四份，甲乙双方各执二份，均有同等法律效力。</w:t>
      </w:r>
    </w:p>
    <w:p w14:paraId="129E5676">
      <w:pPr>
        <w:overflowPunct w:val="0"/>
        <w:spacing w:line="440" w:lineRule="exact"/>
        <w:ind w:firstLine="480" w:firstLineChars="2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 xml:space="preserve">第十二条 特别约定 </w:t>
      </w:r>
    </w:p>
    <w:p w14:paraId="69E4F492">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1. 乙方律师不对相关结果作出任何承诺。</w:t>
      </w:r>
    </w:p>
    <w:p w14:paraId="0E3FD39E">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2. 乙方在签订本合同之前已经向甲方解释了收费规定及标准。甲方在本合同签署之前已经全部阅读并知悉合同内容，本合同系双方自愿协商一致达成。</w:t>
      </w:r>
    </w:p>
    <w:p w14:paraId="47523E0E">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3. 甲方不得向乙方律师及任何受托方人员支付律师费用或法律顾问费用，应将律师费用或法律顾问费用按照约定全额支付到乙方律师事务所的对公账户，否则，乙方对本合同法律事务不承担任何经济和法律责任。甲方对此明知并承诺遵守。</w:t>
      </w:r>
    </w:p>
    <w:p w14:paraId="1AC244A1">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p>
    <w:p w14:paraId="061842CC">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p>
    <w:p w14:paraId="47EEC57F">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p>
    <w:p w14:paraId="6FFC35AC">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甲方：                              乙方：</w:t>
      </w:r>
    </w:p>
    <w:p w14:paraId="71C168ED">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p>
    <w:p w14:paraId="0F081082">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p>
    <w:p w14:paraId="277871BE">
      <w:pPr>
        <w:overflowPunct w:val="0"/>
        <w:spacing w:line="440" w:lineRule="exact"/>
        <w:ind w:firstLine="480" w:firstLineChars="200"/>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代表人：                            代表人：</w:t>
      </w:r>
    </w:p>
    <w:p w14:paraId="566680AB">
      <w:pPr>
        <w:overflowPunct w:val="0"/>
        <w:spacing w:line="440" w:lineRule="exact"/>
        <w:ind w:firstLine="480" w:firstLineChars="200"/>
        <w:rPr>
          <w:rFonts w:ascii="Times New Roman" w:hAnsi="Times New Roman" w:eastAsia="楷体"/>
          <w:color w:val="auto"/>
          <w:highlight w:val="none"/>
        </w:rPr>
      </w:pPr>
    </w:p>
    <w:p w14:paraId="332222AA">
      <w:pPr>
        <w:overflowPunct w:val="0"/>
        <w:spacing w:line="440" w:lineRule="exact"/>
        <w:ind w:firstLine="480" w:firstLineChars="200"/>
        <w:rPr>
          <w:rFonts w:ascii="Times New Roman" w:hAnsi="Times New Roman" w:eastAsia="楷体"/>
          <w:color w:val="auto"/>
          <w:highlight w:val="none"/>
        </w:rPr>
      </w:pPr>
    </w:p>
    <w:p w14:paraId="52B14929">
      <w:pPr>
        <w:overflowPunct w:val="0"/>
        <w:spacing w:line="440" w:lineRule="exact"/>
        <w:ind w:firstLine="480" w:firstLineChars="200"/>
        <w:rPr>
          <w:rFonts w:ascii="Times New Roman" w:hAnsi="Times New Roman" w:eastAsia="楷体"/>
          <w:color w:val="auto"/>
          <w:highlight w:val="none"/>
        </w:rPr>
      </w:pPr>
    </w:p>
    <w:p w14:paraId="4B5A3E6F">
      <w:pPr>
        <w:overflowPunct w:val="0"/>
        <w:spacing w:line="440" w:lineRule="exact"/>
        <w:ind w:firstLine="480" w:firstLineChars="200"/>
        <w:jc w:val="center"/>
        <w:rPr>
          <w:rFonts w:hint="eastAsia" w:ascii="仿宋_GB2312" w:hAnsi="仿宋_GB2312" w:eastAsia="仿宋_GB2312" w:cs="仿宋"/>
          <w:color w:val="auto"/>
          <w:kern w:val="0"/>
          <w:sz w:val="24"/>
          <w:szCs w:val="24"/>
          <w:highlight w:val="none"/>
          <w:lang w:val="en-US" w:eastAsia="zh-CN" w:bidi="ar-SA"/>
        </w:rPr>
      </w:pPr>
      <w:r>
        <w:rPr>
          <w:rFonts w:hint="eastAsia" w:ascii="仿宋_GB2312" w:hAnsi="仿宋_GB2312" w:eastAsia="仿宋_GB2312" w:cs="仿宋"/>
          <w:color w:val="auto"/>
          <w:kern w:val="0"/>
          <w:sz w:val="24"/>
          <w:szCs w:val="24"/>
          <w:highlight w:val="none"/>
          <w:lang w:val="en-US" w:eastAsia="zh-CN" w:bidi="ar-SA"/>
        </w:rPr>
        <w:t>签约时间：2024年   月   日</w:t>
      </w:r>
    </w:p>
    <w:p w14:paraId="342622B6">
      <w:pPr>
        <w:pStyle w:val="35"/>
        <w:spacing w:line="440" w:lineRule="exact"/>
        <w:rPr>
          <w:rFonts w:hint="eastAsia" w:ascii="仿宋_GB2312" w:hAnsi="仿宋_GB2312" w:eastAsia="仿宋_GB2312" w:cs="仿宋"/>
          <w:kern w:val="0"/>
          <w:sz w:val="24"/>
          <w:szCs w:val="24"/>
          <w:highlight w:val="none"/>
          <w:lang w:val="en-US" w:eastAsia="zh-CN" w:bidi="ar-SA"/>
        </w:rPr>
      </w:pPr>
    </w:p>
    <w:p w14:paraId="7EE95B65">
      <w:pPr>
        <w:rPr>
          <w:rFonts w:hint="eastAsia" w:ascii="仿宋_GB2312" w:hAnsi="仿宋_GB2312" w:eastAsia="仿宋_GB2312" w:cs="仿宋"/>
          <w:kern w:val="0"/>
          <w:sz w:val="24"/>
          <w:szCs w:val="24"/>
          <w:highlight w:val="none"/>
          <w:lang w:val="en-US" w:eastAsia="zh-CN" w:bidi="ar-SA"/>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089EC">
    <w:pPr>
      <w:pStyle w:val="13"/>
      <w:jc w:val="center"/>
    </w:pPr>
  </w:p>
  <w:p w14:paraId="3D8B2A9D">
    <w:pPr>
      <w:pStyle w:val="13"/>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1306604066"/>
    </w:sdtPr>
    <w:sdtEndPr>
      <w:rPr>
        <w:rStyle w:val="22"/>
      </w:rPr>
    </w:sdtEndPr>
    <w:sdtContent>
      <w:p w14:paraId="4E688A7B">
        <w:pPr>
          <w:pStyle w:val="13"/>
          <w:framePr w:wrap="around" w:vAnchor="text" w:hAnchor="margin" w:xAlign="center" w:y="1"/>
          <w:rPr>
            <w:rStyle w:val="22"/>
          </w:rPr>
        </w:pPr>
        <w:r>
          <w:rPr>
            <w:rStyle w:val="22"/>
          </w:rPr>
          <w:fldChar w:fldCharType="begin"/>
        </w:r>
        <w:r>
          <w:rPr>
            <w:rStyle w:val="22"/>
          </w:rPr>
          <w:instrText xml:space="preserve"> PAGE </w:instrText>
        </w:r>
        <w:r>
          <w:rPr>
            <w:rStyle w:val="22"/>
          </w:rPr>
          <w:fldChar w:fldCharType="end"/>
        </w:r>
      </w:p>
    </w:sdtContent>
  </w:sdt>
  <w:p w14:paraId="7AC0966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B317">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953E4">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8953E4">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5051">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C5889">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F9C5889">
                    <w:pPr>
                      <w:pStyle w:val="13"/>
                    </w:pPr>
                    <w:r>
                      <w:fldChar w:fldCharType="begin"/>
                    </w:r>
                    <w:r>
                      <w:instrText xml:space="preserve"> PAGE  \* MERGEFORMAT </w:instrText>
                    </w:r>
                    <w:r>
                      <w:fldChar w:fldCharType="separate"/>
                    </w:r>
                    <w:r>
                      <w:t>14</w:t>
                    </w:r>
                    <w:r>
                      <w:fldChar w:fldCharType="end"/>
                    </w:r>
                  </w:p>
                </w:txbxContent>
              </v:textbox>
            </v:shape>
          </w:pict>
        </mc:Fallback>
      </mc:AlternateContent>
    </w:r>
  </w:p>
  <w:p w14:paraId="44751034">
    <w:pPr>
      <w:pStyle w:val="13"/>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F6FE1">
    <w:pPr>
      <w:pStyle w:val="14"/>
      <w:pBdr>
        <w:bottom w:val="none" w:color="auto" w:sz="0" w:space="0"/>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D2598A"/>
    <w:multiLevelType w:val="singleLevel"/>
    <w:tmpl w:val="08D2598A"/>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ODJiN2NhZTA3Y2RmY2MwMGM0YjU5MzY5NTAwYTUifQ=="/>
  </w:docVars>
  <w:rsids>
    <w:rsidRoot w:val="145622F3"/>
    <w:rsid w:val="000A2BF6"/>
    <w:rsid w:val="000E7BC0"/>
    <w:rsid w:val="001B57DE"/>
    <w:rsid w:val="002357B2"/>
    <w:rsid w:val="002473D4"/>
    <w:rsid w:val="002D0F6F"/>
    <w:rsid w:val="006A71F9"/>
    <w:rsid w:val="006B4D37"/>
    <w:rsid w:val="007B748B"/>
    <w:rsid w:val="007C45A5"/>
    <w:rsid w:val="00802360"/>
    <w:rsid w:val="00816441"/>
    <w:rsid w:val="008302E9"/>
    <w:rsid w:val="00893D83"/>
    <w:rsid w:val="00942648"/>
    <w:rsid w:val="00950FF4"/>
    <w:rsid w:val="00971207"/>
    <w:rsid w:val="00984E89"/>
    <w:rsid w:val="009868CD"/>
    <w:rsid w:val="009F7AB7"/>
    <w:rsid w:val="00A068E6"/>
    <w:rsid w:val="00A2267F"/>
    <w:rsid w:val="00A800B1"/>
    <w:rsid w:val="00B502FA"/>
    <w:rsid w:val="00B85145"/>
    <w:rsid w:val="00BA5F13"/>
    <w:rsid w:val="00C14021"/>
    <w:rsid w:val="00D47D4B"/>
    <w:rsid w:val="00D869DB"/>
    <w:rsid w:val="00DD1AA2"/>
    <w:rsid w:val="00DE62DF"/>
    <w:rsid w:val="00E17C70"/>
    <w:rsid w:val="00F0272A"/>
    <w:rsid w:val="00FD4A8C"/>
    <w:rsid w:val="01B336E1"/>
    <w:rsid w:val="02C21D66"/>
    <w:rsid w:val="02D60E6F"/>
    <w:rsid w:val="039C1864"/>
    <w:rsid w:val="04FA662F"/>
    <w:rsid w:val="055169A3"/>
    <w:rsid w:val="07932878"/>
    <w:rsid w:val="095F3062"/>
    <w:rsid w:val="0A1B7A08"/>
    <w:rsid w:val="10876CEA"/>
    <w:rsid w:val="13A3379B"/>
    <w:rsid w:val="145622F3"/>
    <w:rsid w:val="1568017A"/>
    <w:rsid w:val="157C1125"/>
    <w:rsid w:val="16B347D5"/>
    <w:rsid w:val="17587CFD"/>
    <w:rsid w:val="17C7597A"/>
    <w:rsid w:val="19D52EEE"/>
    <w:rsid w:val="1B8E26A0"/>
    <w:rsid w:val="1D5074D7"/>
    <w:rsid w:val="1D9F677B"/>
    <w:rsid w:val="201441BD"/>
    <w:rsid w:val="20BC2C0B"/>
    <w:rsid w:val="20EE3021"/>
    <w:rsid w:val="21915D0D"/>
    <w:rsid w:val="223763E7"/>
    <w:rsid w:val="2410542D"/>
    <w:rsid w:val="245A3104"/>
    <w:rsid w:val="257C62F2"/>
    <w:rsid w:val="279762D4"/>
    <w:rsid w:val="2A034C99"/>
    <w:rsid w:val="2A340991"/>
    <w:rsid w:val="2C65616A"/>
    <w:rsid w:val="2D4E72A2"/>
    <w:rsid w:val="2E101757"/>
    <w:rsid w:val="2ED2363D"/>
    <w:rsid w:val="2F8E27EC"/>
    <w:rsid w:val="306D21E7"/>
    <w:rsid w:val="318F6BB1"/>
    <w:rsid w:val="32257B03"/>
    <w:rsid w:val="33464365"/>
    <w:rsid w:val="347C1BA8"/>
    <w:rsid w:val="372E3085"/>
    <w:rsid w:val="380B206D"/>
    <w:rsid w:val="384131EC"/>
    <w:rsid w:val="395214B6"/>
    <w:rsid w:val="3A147819"/>
    <w:rsid w:val="3B141786"/>
    <w:rsid w:val="3D2755EE"/>
    <w:rsid w:val="3D3B749E"/>
    <w:rsid w:val="3F6C393F"/>
    <w:rsid w:val="40B557B9"/>
    <w:rsid w:val="40ED1F45"/>
    <w:rsid w:val="41E273E4"/>
    <w:rsid w:val="43E902D7"/>
    <w:rsid w:val="43F9149A"/>
    <w:rsid w:val="44040C86"/>
    <w:rsid w:val="456011DC"/>
    <w:rsid w:val="45D56EE3"/>
    <w:rsid w:val="492D37DC"/>
    <w:rsid w:val="49E84299"/>
    <w:rsid w:val="4DB452FB"/>
    <w:rsid w:val="4F124289"/>
    <w:rsid w:val="50A0169A"/>
    <w:rsid w:val="53976209"/>
    <w:rsid w:val="53B65679"/>
    <w:rsid w:val="53F27B83"/>
    <w:rsid w:val="55AE68DF"/>
    <w:rsid w:val="5B5E5F89"/>
    <w:rsid w:val="5B9718EC"/>
    <w:rsid w:val="5C7C46AE"/>
    <w:rsid w:val="5D375134"/>
    <w:rsid w:val="5DDF72AE"/>
    <w:rsid w:val="5E882B84"/>
    <w:rsid w:val="5EF731A6"/>
    <w:rsid w:val="5EFE2EC4"/>
    <w:rsid w:val="5F5C5467"/>
    <w:rsid w:val="5FDC1FC3"/>
    <w:rsid w:val="62272B8B"/>
    <w:rsid w:val="63C70F64"/>
    <w:rsid w:val="65710D10"/>
    <w:rsid w:val="668D6CDE"/>
    <w:rsid w:val="675B3AE6"/>
    <w:rsid w:val="677F14DD"/>
    <w:rsid w:val="681C0953"/>
    <w:rsid w:val="69026901"/>
    <w:rsid w:val="6A251C48"/>
    <w:rsid w:val="6A4A5C24"/>
    <w:rsid w:val="6B511AB7"/>
    <w:rsid w:val="6B5D7F64"/>
    <w:rsid w:val="6ECE389A"/>
    <w:rsid w:val="6F4831D1"/>
    <w:rsid w:val="70571EC1"/>
    <w:rsid w:val="71DE6692"/>
    <w:rsid w:val="72B96647"/>
    <w:rsid w:val="738234C3"/>
    <w:rsid w:val="75AB5AC1"/>
    <w:rsid w:val="775F0B14"/>
    <w:rsid w:val="77A16100"/>
    <w:rsid w:val="77FD7270"/>
    <w:rsid w:val="7A2C5F9D"/>
    <w:rsid w:val="7CA66FAE"/>
    <w:rsid w:val="7CDB7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tabs>
        <w:tab w:val="left" w:pos="0"/>
      </w:tabs>
      <w:spacing w:line="480" w:lineRule="exact"/>
      <w:jc w:val="center"/>
      <w:outlineLvl w:val="0"/>
    </w:pPr>
    <w:rPr>
      <w:rFonts w:ascii="黑体" w:hAnsi="黑体" w:eastAsia="黑体"/>
      <w:b/>
      <w:bCs/>
      <w:kern w:val="44"/>
      <w:sz w:val="36"/>
      <w:szCs w:val="36"/>
    </w:rPr>
  </w:style>
  <w:style w:type="paragraph" w:styleId="3">
    <w:name w:val="heading 2"/>
    <w:basedOn w:val="1"/>
    <w:next w:val="1"/>
    <w:qFormat/>
    <w:uiPriority w:val="99"/>
    <w:pPr>
      <w:keepNext/>
      <w:keepLines/>
      <w:widowControl w:val="0"/>
      <w:spacing w:before="260" w:after="260" w:line="416" w:lineRule="auto"/>
      <w:jc w:val="both"/>
      <w:outlineLvl w:val="1"/>
    </w:pPr>
    <w:rPr>
      <w:rFonts w:ascii="Arial" w:hAnsi="Arial" w:eastAsia="黑体" w:cs="Arial"/>
      <w:b/>
      <w:bCs/>
      <w:kern w:val="2"/>
      <w:sz w:val="32"/>
      <w:szCs w:val="32"/>
    </w:rPr>
  </w:style>
  <w:style w:type="paragraph" w:styleId="4">
    <w:name w:val="heading 3"/>
    <w:basedOn w:val="1"/>
    <w:next w:val="1"/>
    <w:qFormat/>
    <w:uiPriority w:val="99"/>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val="0"/>
      <w:ind w:firstLine="420" w:firstLineChars="200"/>
      <w:jc w:val="both"/>
    </w:pPr>
    <w:rPr>
      <w:rFonts w:ascii="Times New Roman" w:hAnsi="Times New Roman" w:cs="Times New Roman"/>
    </w:rPr>
  </w:style>
  <w:style w:type="paragraph" w:styleId="6">
    <w:name w:val="Body Text"/>
    <w:basedOn w:val="1"/>
    <w:next w:val="1"/>
    <w:qFormat/>
    <w:uiPriority w:val="0"/>
    <w:rPr>
      <w:rFonts w:ascii="Verdana" w:hAnsi="Verdana" w:cs="Verdana"/>
    </w:rPr>
  </w:style>
  <w:style w:type="paragraph" w:styleId="7">
    <w:name w:val="Block Text"/>
    <w:basedOn w:val="1"/>
    <w:next w:val="8"/>
    <w:qFormat/>
    <w:uiPriority w:val="0"/>
    <w:pPr>
      <w:widowControl w:val="0"/>
      <w:spacing w:line="400" w:lineRule="exact"/>
      <w:ind w:left="361" w:right="-687" w:firstLine="3792"/>
      <w:jc w:val="both"/>
    </w:pPr>
  </w:style>
  <w:style w:type="paragraph" w:customStyle="1" w:styleId="8">
    <w:name w:val="Char"/>
    <w:basedOn w:val="1"/>
    <w:next w:val="9"/>
    <w:qFormat/>
    <w:uiPriority w:val="0"/>
    <w:pPr>
      <w:spacing w:before="280" w:after="280" w:line="360" w:lineRule="auto"/>
      <w:ind w:firstLine="3584"/>
    </w:pPr>
  </w:style>
  <w:style w:type="paragraph" w:customStyle="1" w:styleId="9">
    <w:name w:val="正文缩进1"/>
    <w:basedOn w:val="1"/>
    <w:next w:val="1"/>
    <w:qFormat/>
    <w:uiPriority w:val="0"/>
    <w:pPr>
      <w:ind w:left="420" w:firstLine="5284"/>
      <w:jc w:val="both"/>
    </w:pPr>
  </w:style>
  <w:style w:type="paragraph" w:styleId="10">
    <w:name w:val="Plain Text"/>
    <w:basedOn w:val="1"/>
    <w:qFormat/>
    <w:uiPriority w:val="99"/>
    <w:pPr>
      <w:widowControl w:val="0"/>
      <w:autoSpaceDE w:val="0"/>
      <w:autoSpaceDN w:val="0"/>
      <w:adjustRightInd w:val="0"/>
      <w:jc w:val="both"/>
    </w:pPr>
    <w:rPr>
      <w:rFonts w:hAnsi="Tms Rmn"/>
      <w:kern w:val="2"/>
      <w:sz w:val="21"/>
      <w:szCs w:val="21"/>
    </w:rPr>
  </w:style>
  <w:style w:type="paragraph" w:styleId="11">
    <w:name w:val="Body Text Indent 2"/>
    <w:basedOn w:val="1"/>
    <w:next w:val="12"/>
    <w:qFormat/>
    <w:uiPriority w:val="0"/>
    <w:pPr>
      <w:spacing w:after="120" w:line="480" w:lineRule="auto"/>
      <w:ind w:left="420" w:leftChars="200"/>
    </w:pPr>
    <w:rPr>
      <w:rFonts w:ascii="Times New Roman" w:hAnsi="Times New Roman"/>
      <w:kern w:val="2"/>
      <w:sz w:val="21"/>
    </w:rPr>
  </w:style>
  <w:style w:type="paragraph" w:styleId="12">
    <w:name w:val="Body Text Indent 3"/>
    <w:basedOn w:val="1"/>
    <w:next w:val="7"/>
    <w:qFormat/>
    <w:uiPriority w:val="0"/>
    <w:pPr>
      <w:adjustRightInd w:val="0"/>
      <w:spacing w:line="360" w:lineRule="auto"/>
      <w:ind w:firstLine="525"/>
      <w:textAlignment w:val="baseline"/>
    </w:pPr>
    <w:rPr>
      <w:szCs w:val="20"/>
    </w:rPr>
  </w:style>
  <w:style w:type="paragraph" w:styleId="13">
    <w:name w:val="footer"/>
    <w:basedOn w:val="1"/>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5">
    <w:name w:val="toc 1"/>
    <w:basedOn w:val="1"/>
    <w:next w:val="1"/>
    <w:qFormat/>
    <w:uiPriority w:val="39"/>
    <w:pPr>
      <w:widowControl w:val="0"/>
      <w:spacing w:line="480" w:lineRule="auto"/>
      <w:jc w:val="both"/>
    </w:pPr>
    <w:rPr>
      <w:rFonts w:ascii="Times New Roman" w:hAnsi="Times New Roman" w:cs="Times New Roman"/>
      <w:kern w:val="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rPr>
  </w:style>
  <w:style w:type="paragraph" w:styleId="17">
    <w:name w:val="Normal (Web)"/>
    <w:basedOn w:val="1"/>
    <w:qFormat/>
    <w:uiPriority w:val="0"/>
    <w:pPr>
      <w:spacing w:beforeAutospacing="1" w:afterAutospacing="1"/>
    </w:pPr>
    <w:rPr>
      <w:rFonts w:cs="Times New Roman"/>
    </w:rPr>
  </w:style>
  <w:style w:type="paragraph" w:styleId="18">
    <w:name w:val="Title"/>
    <w:basedOn w:val="1"/>
    <w:next w:val="1"/>
    <w:qFormat/>
    <w:uiPriority w:val="99"/>
    <w:pPr>
      <w:widowControl w:val="0"/>
      <w:spacing w:before="240" w:after="60"/>
      <w:jc w:val="center"/>
      <w:outlineLvl w:val="0"/>
    </w:pPr>
    <w:rPr>
      <w:rFonts w:ascii="Cambria" w:hAnsi="Cambria" w:cs="Cambria"/>
      <w:b/>
      <w:bCs/>
      <w:kern w:val="2"/>
      <w:sz w:val="32"/>
      <w:szCs w:val="32"/>
    </w:rPr>
  </w:style>
  <w:style w:type="paragraph" w:styleId="19">
    <w:name w:val="Body Text First Indent"/>
    <w:basedOn w:val="6"/>
    <w:next w:val="1"/>
    <w:qFormat/>
    <w:uiPriority w:val="0"/>
    <w:pPr>
      <w:ind w:firstLine="420" w:firstLineChars="100"/>
    </w:pPr>
  </w:style>
  <w:style w:type="character" w:styleId="22">
    <w:name w:val="page number"/>
    <w:basedOn w:val="21"/>
    <w:qFormat/>
    <w:uiPriority w:val="99"/>
  </w:style>
  <w:style w:type="character" w:styleId="23">
    <w:name w:val="Hyperlink"/>
    <w:basedOn w:val="21"/>
    <w:qFormat/>
    <w:uiPriority w:val="99"/>
    <w:rPr>
      <w:color w:val="0000FF"/>
      <w:u w:val="single"/>
    </w:rPr>
  </w:style>
  <w:style w:type="character" w:styleId="24">
    <w:name w:val="annotation reference"/>
    <w:basedOn w:val="21"/>
    <w:qFormat/>
    <w:uiPriority w:val="99"/>
    <w:rPr>
      <w:sz w:val="21"/>
      <w:szCs w:val="21"/>
    </w:rPr>
  </w:style>
  <w:style w:type="paragraph" w:customStyle="1" w:styleId="25">
    <w:name w:val="正文首行缩进两字符"/>
    <w:basedOn w:val="1"/>
    <w:qFormat/>
    <w:uiPriority w:val="99"/>
    <w:pPr>
      <w:widowControl w:val="0"/>
      <w:spacing w:line="360" w:lineRule="auto"/>
      <w:ind w:firstLine="200" w:firstLineChars="200"/>
      <w:jc w:val="both"/>
    </w:pPr>
    <w:rPr>
      <w:rFonts w:ascii="Times New Roman" w:hAnsi="Times New Roman" w:cs="Times New Roman"/>
      <w:kern w:val="2"/>
      <w:sz w:val="21"/>
      <w:szCs w:val="21"/>
    </w:rPr>
  </w:style>
  <w:style w:type="paragraph" w:customStyle="1" w:styleId="26">
    <w:name w:val="Default"/>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2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列出段落1"/>
    <w:basedOn w:val="1"/>
    <w:qFormat/>
    <w:uiPriority w:val="99"/>
    <w:pPr>
      <w:widowControl w:val="0"/>
      <w:ind w:firstLine="420" w:firstLineChars="200"/>
      <w:jc w:val="both"/>
    </w:pPr>
    <w:rPr>
      <w:rFonts w:ascii="Times New Roman" w:hAnsi="Times New Roman" w:cs="Times New Roman"/>
    </w:rPr>
  </w:style>
  <w:style w:type="paragraph" w:customStyle="1" w:styleId="29">
    <w:name w:val="CD正文"/>
    <w:basedOn w:val="1"/>
    <w:qFormat/>
    <w:uiPriority w:val="99"/>
    <w:pPr>
      <w:widowControl w:val="0"/>
      <w:spacing w:line="360" w:lineRule="auto"/>
      <w:ind w:firstLine="493"/>
      <w:jc w:val="both"/>
    </w:pPr>
    <w:rPr>
      <w:rFonts w:ascii="Times New Roman" w:hAnsi="Times New Roman" w:cs="Times New Roman"/>
      <w:kern w:val="2"/>
      <w:sz w:val="30"/>
      <w:szCs w:val="30"/>
    </w:rPr>
  </w:style>
  <w:style w:type="paragraph" w:customStyle="1" w:styleId="30">
    <w:name w:val="样式 首行缩进:  2 字符"/>
    <w:basedOn w:val="1"/>
    <w:qFormat/>
    <w:uiPriority w:val="99"/>
    <w:pPr>
      <w:widowControl w:val="0"/>
      <w:spacing w:line="400" w:lineRule="exact"/>
      <w:ind w:firstLine="200" w:firstLineChars="200"/>
      <w:jc w:val="both"/>
    </w:pPr>
    <w:rPr>
      <w:rFonts w:ascii="Times New Roman" w:hAnsi="Times New Roman" w:cs="Times New Roman"/>
      <w:kern w:val="2"/>
    </w:rPr>
  </w:style>
  <w:style w:type="paragraph" w:customStyle="1" w:styleId="31">
    <w:name w:val="Body text|1"/>
    <w:basedOn w:val="1"/>
    <w:qFormat/>
    <w:uiPriority w:val="0"/>
    <w:pPr>
      <w:widowControl w:val="0"/>
      <w:spacing w:line="406" w:lineRule="auto"/>
      <w:ind w:firstLine="240"/>
      <w:jc w:val="both"/>
    </w:pPr>
    <w:rPr>
      <w:kern w:val="2"/>
      <w:sz w:val="10"/>
      <w:szCs w:val="10"/>
      <w:lang w:val="zh-TW" w:eastAsia="zh-TW" w:bidi="zh-TW"/>
    </w:rPr>
  </w:style>
  <w:style w:type="paragraph" w:customStyle="1" w:styleId="32">
    <w:name w:val="_Style 3"/>
    <w:qFormat/>
    <w:uiPriority w:val="99"/>
    <w:pPr>
      <w:widowControl w:val="0"/>
      <w:jc w:val="both"/>
    </w:pPr>
    <w:rPr>
      <w:rFonts w:ascii="Times New Roman" w:hAnsi="Times New Roman" w:eastAsia="宋体" w:cs="黑体"/>
      <w:kern w:val="2"/>
      <w:sz w:val="21"/>
      <w:szCs w:val="22"/>
      <w:lang w:val="en-US" w:eastAsia="zh-CN" w:bidi="ar-SA"/>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4">
    <w:name w:val="Revision"/>
    <w:hidden/>
    <w:unhideWhenUsed/>
    <w:qFormat/>
    <w:uiPriority w:val="99"/>
    <w:rPr>
      <w:rFonts w:ascii="宋体" w:hAnsi="宋体" w:eastAsia="宋体" w:cs="宋体"/>
      <w:sz w:val="24"/>
      <w:szCs w:val="24"/>
      <w:lang w:val="en-US" w:eastAsia="zh-CN" w:bidi="ar-SA"/>
    </w:rPr>
  </w:style>
  <w:style w:type="paragraph" w:customStyle="1" w:styleId="3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3_0"/>
    <w:qFormat/>
    <w:uiPriority w:val="0"/>
    <w:pPr>
      <w:widowControl w:val="0"/>
      <w:jc w:val="both"/>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18067</Words>
  <Characters>18880</Characters>
  <Lines>100</Lines>
  <Paragraphs>28</Paragraphs>
  <TotalTime>2</TotalTime>
  <ScaleCrop>false</ScaleCrop>
  <LinksUpToDate>false</LinksUpToDate>
  <CharactersWithSpaces>19340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2022-03-24T06:06:00Z</dcterms:created>
  <dc:creator>FlAm!nGoBaby</dc:creator>
  <cp:lastModifiedBy>王明喜</cp:lastModifiedBy>
  <cp:lastPrinted>2023-07-21T02:58:00Z</cp:lastPrinted>
  <dcterms:modified xsi:type="dcterms:W3CDTF">2024-09-03T03:46:35Z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3C9864C1ACA14F2D96196B3236AFA4F7_13</vt:lpwstr>
  </property>
</Properties>
</file>