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综合性评分明细表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09"/>
        <w:gridCol w:w="984"/>
        <w:gridCol w:w="4516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9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4516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9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</w:p>
        </w:tc>
        <w:tc>
          <w:tcPr>
            <w:tcW w:w="4516" w:type="dxa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以本次最低有效投标报价为基准价，投标报价得分=(基准价／投标报价)×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14" w:type="dxa"/>
            <w:noWrap w:val="0"/>
            <w:vAlign w:val="top"/>
          </w:tcPr>
          <w:p>
            <w:pPr>
              <w:pStyle w:val="8"/>
              <w:spacing w:line="240" w:lineRule="auto"/>
              <w:ind w:left="19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79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基础实力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4516" w:type="dxa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成立年限5分。律师事务所成立10年以上（含10年）得5分，成立5年以上（含5年）10年以下得3分，成立5年以下得1分。2.执业人数5分。律师事务所有执业律师人数25人以上（含25人）得5分，20人以上（含20人）25人以下得3分，10人以上（含10人）20人以下得2分,10人以下得1分。</w:t>
            </w:r>
          </w:p>
        </w:tc>
        <w:tc>
          <w:tcPr>
            <w:tcW w:w="1014" w:type="dxa"/>
            <w:noWrap w:val="0"/>
            <w:vAlign w:val="top"/>
          </w:tcPr>
          <w:p>
            <w:pPr>
              <w:pStyle w:val="8"/>
              <w:spacing w:line="240" w:lineRule="auto"/>
              <w:ind w:left="19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9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项目服务方案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</w:p>
        </w:tc>
        <w:tc>
          <w:tcPr>
            <w:tcW w:w="45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包括以下内容：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1.团队及自身优势简介、2.服务宗旨、3.服务内容、4.服务承诺、5.服务方式、6.重大决策风险防范。7.应急预案。内容完整、覆盖点广、方案可行得21分，每缺一项内容扣3分，有一项内容不完整或不可行扣1分。</w:t>
            </w:r>
          </w:p>
        </w:tc>
        <w:tc>
          <w:tcPr>
            <w:tcW w:w="10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5" w:hRule="atLeast"/>
        </w:trPr>
        <w:tc>
          <w:tcPr>
            <w:tcW w:w="79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29分</w:t>
            </w:r>
          </w:p>
        </w:tc>
        <w:tc>
          <w:tcPr>
            <w:tcW w:w="4516" w:type="dxa"/>
            <w:noWrap w:val="0"/>
            <w:vAlign w:val="top"/>
          </w:tcPr>
          <w:p>
            <w:pPr>
              <w:pStyle w:val="8"/>
              <w:spacing w:line="240" w:lineRule="auto"/>
              <w:ind w:left="0" w:leftChars="0" w:firstLine="22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1.供应商自2018年1月1日（含）以来，每提供一个央企、省属市属国有企业、政府部门顾问单位的得2分，最高得10分。（提供合同复印件、协议复印件或聘书复印件并加盖供应商鲜章）</w:t>
            </w:r>
          </w:p>
          <w:p>
            <w:pPr>
              <w:pStyle w:val="8"/>
              <w:spacing w:line="240" w:lineRule="auto"/>
              <w:ind w:left="0" w:leftChars="0" w:firstLine="22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2.供应商自2017年1月1日（含）以来参与EPC项目、EPC+F项目、专项债项目，每个项目得1分，最高不超过5分。</w:t>
            </w:r>
          </w:p>
          <w:p>
            <w:pPr>
              <w:pStyle w:val="8"/>
              <w:spacing w:line="240" w:lineRule="auto"/>
              <w:ind w:left="0" w:leftChars="0" w:firstLine="22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3.供应商自2017年1月1日（含）以来在企业投资、融资、并购、资产管理、债权债务重组等方面的相关业绩，每提供1个得2分，最高不超过6分；</w:t>
            </w:r>
          </w:p>
          <w:p>
            <w:pPr>
              <w:pStyle w:val="8"/>
              <w:spacing w:line="240" w:lineRule="auto"/>
              <w:ind w:left="0" w:leftChars="0" w:firstLine="22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供应商自2018年1月1日（含）以来代理过央企、省属市属国有企业诉讼案件的，每提供1个得2分，最高不超过4分；代理过标的金额在2000万元以上的重大建设工程纠纷胜诉案件的，每提供1个得2分，最高不超过4分。本项最多得8分。（提供以下证明材料之一：民事裁判书、民事调解书、民事裁定书）</w:t>
            </w:r>
          </w:p>
        </w:tc>
        <w:tc>
          <w:tcPr>
            <w:tcW w:w="10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4516" w:type="dxa"/>
            <w:noWrap w:val="0"/>
            <w:vAlign w:val="top"/>
          </w:tcPr>
          <w:p>
            <w:pPr>
              <w:pStyle w:val="8"/>
              <w:numPr>
                <w:ilvl w:val="0"/>
                <w:numId w:val="0"/>
              </w:num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1.供应商合伙人拟担任本项目的法律服务团队成员的，每有1个得2分，本项最多得4分。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拟担任本项目法律服务团队的律师，具有执业年限在10年及以上的得3分；执业年限在5（含）-10（含）年间的得2分。本项最多得6分。（需提供相关工作年限证明材料复印件并加盖供应商鲜章，以其中最长执业年限人员得分计算，不累积得分）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="0" w:leftChars="0"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3.律师事务所指派律师连续担任央企、省属市属国有企业、政府部门法律顾问，5年以下(不含5年) 得3分,5-9年得7分,10年以上（含10年）得10分。此项不累加，以单人最高级别计算得分。</w:t>
            </w:r>
          </w:p>
        </w:tc>
        <w:tc>
          <w:tcPr>
            <w:tcW w:w="10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应急服务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Style w:val="8"/>
              <w:spacing w:line="240" w:lineRule="auto"/>
              <w:ind w:left="0" w:leftChars="0" w:hanging="9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</w:p>
        </w:tc>
        <w:tc>
          <w:tcPr>
            <w:tcW w:w="4516" w:type="dxa"/>
            <w:noWrap w:val="0"/>
            <w:vAlign w:val="top"/>
          </w:tcPr>
          <w:p>
            <w:pPr>
              <w:pStyle w:val="8"/>
              <w:numPr>
                <w:ilvl w:val="0"/>
                <w:numId w:val="0"/>
              </w:num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供应商据实提供突发应急处置服务时限承诺：遇突发事件、重大群体性事件及其他重大纠纷，在接到服务对象（单位）服务请求后作出服务安排响应时起：能在30分钟内到达服务地点或能在服务地点长期坐班的得5分，60分钟内到达服务地 点的得3分，90分钟内到达服务地点的得2分，超过90分钟到达服务地点的不得分。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="0" w:leftChars="0"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备注：供应商须据实提供书面承诺函</w:t>
            </w:r>
          </w:p>
        </w:tc>
        <w:tc>
          <w:tcPr>
            <w:tcW w:w="10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zh-CN"/>
              </w:rPr>
              <w:t>长期坐班人员不得少于1人</w:t>
            </w:r>
          </w:p>
        </w:tc>
      </w:tr>
    </w:tbl>
    <w:p>
      <w:pPr>
        <w:ind w:left="0" w:leftChars="0" w:firstLine="549" w:firstLineChars="228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837C1"/>
    <w:rsid w:val="060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2022-02-17T08:37:00Z</dcterms:created>
  <dc:creator>Administrator</dc:creator>
  <cp:lastModifiedBy>Administrator</cp:lastModifiedBy>
  <dcterms:modified xsi:type="dcterms:W3CDTF">2022-02-17T08:37:52Z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